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2E" w:rsidRDefault="00EA622E"/>
    <w:tbl>
      <w:tblPr>
        <w:tblW w:w="9569" w:type="dxa"/>
        <w:tblBorders>
          <w:bottom w:val="single" w:sz="4" w:space="0" w:color="auto"/>
        </w:tblBorders>
        <w:tblLook w:val="04A0" w:firstRow="1" w:lastRow="0" w:firstColumn="1" w:lastColumn="0" w:noHBand="0" w:noVBand="1"/>
      </w:tblPr>
      <w:tblGrid>
        <w:gridCol w:w="2268"/>
        <w:gridCol w:w="1680"/>
        <w:gridCol w:w="1560"/>
        <w:gridCol w:w="1800"/>
        <w:gridCol w:w="1163"/>
        <w:gridCol w:w="1098"/>
      </w:tblGrid>
      <w:tr w:rsidR="00866FA5" w:rsidRPr="00866FA5" w:rsidTr="00096BA7">
        <w:tc>
          <w:tcPr>
            <w:tcW w:w="2268" w:type="dxa"/>
          </w:tcPr>
          <w:p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Rapporterende enhet:</w:t>
            </w:r>
          </w:p>
        </w:tc>
        <w:tc>
          <w:tcPr>
            <w:tcW w:w="1680" w:type="dxa"/>
          </w:tcPr>
          <w:p w:rsidR="00866FA5" w:rsidRPr="00866FA5" w:rsidRDefault="00F02BDE" w:rsidP="00096BA7">
            <w:pPr>
              <w:spacing w:after="0"/>
              <w:rPr>
                <w:rFonts w:ascii="Georgia" w:hAnsi="Georgia"/>
                <w:b/>
                <w:bCs/>
                <w:color w:val="365F91"/>
                <w:sz w:val="16"/>
              </w:rPr>
            </w:pPr>
            <w:proofErr w:type="spellStart"/>
            <w:r>
              <w:rPr>
                <w:rFonts w:ascii="Georgia" w:hAnsi="Georgia"/>
                <w:b/>
                <w:bCs/>
                <w:color w:val="365F91"/>
                <w:sz w:val="16"/>
              </w:rPr>
              <w:t>Helsam</w:t>
            </w:r>
            <w:proofErr w:type="spellEnd"/>
          </w:p>
        </w:tc>
        <w:tc>
          <w:tcPr>
            <w:tcW w:w="1560" w:type="dxa"/>
          </w:tcPr>
          <w:p w:rsidR="00866FA5" w:rsidRPr="00866FA5" w:rsidRDefault="00866FA5" w:rsidP="00866FA5">
            <w:pPr>
              <w:spacing w:after="0"/>
              <w:rPr>
                <w:rFonts w:ascii="Georgia" w:hAnsi="Georgia"/>
                <w:b/>
                <w:bCs/>
                <w:color w:val="365F91"/>
                <w:sz w:val="16"/>
              </w:rPr>
            </w:pPr>
            <w:r w:rsidRPr="00866FA5">
              <w:rPr>
                <w:rFonts w:ascii="Georgia" w:hAnsi="Georgia"/>
                <w:b/>
                <w:bCs/>
                <w:color w:val="365F91"/>
                <w:sz w:val="16"/>
              </w:rPr>
              <w:t>Rapportert av:</w:t>
            </w:r>
          </w:p>
        </w:tc>
        <w:tc>
          <w:tcPr>
            <w:tcW w:w="1800" w:type="dxa"/>
          </w:tcPr>
          <w:p w:rsidR="00866FA5" w:rsidRPr="00F02BDE" w:rsidRDefault="00F02BDE" w:rsidP="00096BA7">
            <w:pPr>
              <w:spacing w:after="0"/>
              <w:rPr>
                <w:rFonts w:ascii="Georgia" w:hAnsi="Georgia"/>
                <w:b/>
                <w:bCs/>
                <w:color w:val="365F91"/>
                <w:sz w:val="16"/>
                <w:lang w:val="nn-NO"/>
              </w:rPr>
            </w:pPr>
            <w:r w:rsidRPr="00F02BDE">
              <w:rPr>
                <w:rFonts w:ascii="Georgia" w:hAnsi="Georgia"/>
                <w:b/>
                <w:bCs/>
                <w:color w:val="365F91"/>
                <w:sz w:val="16"/>
                <w:lang w:val="nn-NO"/>
              </w:rPr>
              <w:t>Nina Vøllestad og Knut Tore Stokke</w:t>
            </w:r>
          </w:p>
        </w:tc>
        <w:tc>
          <w:tcPr>
            <w:tcW w:w="1163" w:type="dxa"/>
          </w:tcPr>
          <w:p w:rsidR="00866FA5" w:rsidRPr="00866FA5" w:rsidRDefault="00866FA5" w:rsidP="00096BA7">
            <w:pPr>
              <w:spacing w:after="0"/>
              <w:rPr>
                <w:rFonts w:ascii="Georgia" w:hAnsi="Georgia"/>
                <w:b/>
                <w:bCs/>
                <w:color w:val="365F91"/>
                <w:sz w:val="16"/>
              </w:rPr>
            </w:pPr>
            <w:r w:rsidRPr="00866FA5">
              <w:rPr>
                <w:rFonts w:ascii="Georgia" w:hAnsi="Georgia"/>
                <w:b/>
                <w:bCs/>
                <w:color w:val="365F91"/>
                <w:sz w:val="16"/>
              </w:rPr>
              <w:t>Periode:</w:t>
            </w:r>
          </w:p>
        </w:tc>
        <w:tc>
          <w:tcPr>
            <w:tcW w:w="1098" w:type="dxa"/>
          </w:tcPr>
          <w:p w:rsidR="00866FA5" w:rsidRPr="00866FA5" w:rsidRDefault="00F02BDE" w:rsidP="00096BA7">
            <w:pPr>
              <w:spacing w:after="0"/>
              <w:rPr>
                <w:rFonts w:ascii="Georgia" w:hAnsi="Georgia"/>
                <w:b/>
                <w:bCs/>
                <w:color w:val="365F91"/>
                <w:sz w:val="16"/>
              </w:rPr>
            </w:pPr>
            <w:r>
              <w:rPr>
                <w:rFonts w:ascii="Georgia" w:hAnsi="Georgia"/>
                <w:b/>
                <w:bCs/>
                <w:color w:val="365F91"/>
                <w:sz w:val="16"/>
              </w:rPr>
              <w:t>T2 2015</w:t>
            </w:r>
          </w:p>
        </w:tc>
      </w:tr>
    </w:tbl>
    <w:p w:rsidR="00866FA5" w:rsidRDefault="00866FA5" w:rsidP="00866FA5">
      <w:pPr>
        <w:pStyle w:val="Heading1"/>
        <w:rPr>
          <w:rFonts w:ascii="Georgia" w:hAnsi="Georgia"/>
          <w:lang w:val="nb-NO"/>
        </w:rPr>
      </w:pPr>
      <w:r>
        <w:rPr>
          <w:rFonts w:ascii="Georgia" w:hAnsi="Georgia"/>
        </w:rPr>
        <w:t>L</w:t>
      </w:r>
      <w:r w:rsidR="00F463E1">
        <w:rPr>
          <w:rFonts w:ascii="Georgia" w:hAnsi="Georgia"/>
        </w:rPr>
        <w:t>edelsesvurdering</w:t>
      </w:r>
      <w:r w:rsidRPr="00866FA5">
        <w:rPr>
          <w:rFonts w:ascii="Georgia" w:hAnsi="Georgia"/>
        </w:rPr>
        <w:t xml:space="preserve"> </w:t>
      </w:r>
      <w:r w:rsidR="00FE5C4B">
        <w:rPr>
          <w:rFonts w:ascii="Georgia" w:hAnsi="Georgia"/>
          <w:lang w:val="nb-NO"/>
        </w:rPr>
        <w:t>2</w:t>
      </w:r>
      <w:r w:rsidR="00AF7F96">
        <w:rPr>
          <w:rFonts w:ascii="Georgia" w:hAnsi="Georgia"/>
          <w:lang w:val="nb-NO"/>
        </w:rPr>
        <w:t>. tertial 201</w:t>
      </w:r>
      <w:r w:rsidR="00DB5B91">
        <w:rPr>
          <w:rFonts w:ascii="Georgia" w:hAnsi="Georgia"/>
          <w:lang w:val="nb-NO"/>
        </w:rPr>
        <w:t>5</w:t>
      </w:r>
    </w:p>
    <w:p w:rsidR="00AC1E52" w:rsidRDefault="00866FA5" w:rsidP="00AC1E52">
      <w:pPr>
        <w:pStyle w:val="Heading3"/>
        <w:numPr>
          <w:ilvl w:val="0"/>
          <w:numId w:val="1"/>
        </w:numPr>
        <w:rPr>
          <w:rFonts w:ascii="Georgia" w:hAnsi="Georgia"/>
          <w:lang w:val="nb-NO"/>
        </w:rPr>
      </w:pPr>
      <w:r w:rsidRPr="00866FA5">
        <w:rPr>
          <w:rFonts w:ascii="Georgia" w:hAnsi="Georgia"/>
        </w:rPr>
        <w:t>Innledning</w:t>
      </w:r>
    </w:p>
    <w:p w:rsidR="00840F7F" w:rsidRDefault="00840F7F" w:rsidP="00AC1E52">
      <w:pPr>
        <w:rPr>
          <w:rFonts w:ascii="Georgia" w:hAnsi="Georgia"/>
          <w:sz w:val="20"/>
        </w:rPr>
      </w:pPr>
      <w:r>
        <w:rPr>
          <w:rFonts w:ascii="Georgia" w:hAnsi="Georgia"/>
          <w:sz w:val="20"/>
        </w:rPr>
        <w:t xml:space="preserve">Rekruttering i faste vitenskapelige stillinger har vært en viktig oppgave for </w:t>
      </w:r>
      <w:proofErr w:type="spellStart"/>
      <w:r>
        <w:rPr>
          <w:rFonts w:ascii="Georgia" w:hAnsi="Georgia"/>
          <w:sz w:val="20"/>
        </w:rPr>
        <w:t>Helsam</w:t>
      </w:r>
      <w:proofErr w:type="spellEnd"/>
      <w:r>
        <w:rPr>
          <w:rFonts w:ascii="Georgia" w:hAnsi="Georgia"/>
          <w:sz w:val="20"/>
        </w:rPr>
        <w:t xml:space="preserve"> i 2. tertial 2015. Vi har sluttført tilsetting av utdanningsleder ved instituttet og har vedtatt tilsetting av leder for Senter for global helse. I tillegg er vi sluttfasen av å rekruttere </w:t>
      </w:r>
      <w:r w:rsidR="00327063">
        <w:rPr>
          <w:rFonts w:ascii="Georgia" w:hAnsi="Georgia"/>
          <w:sz w:val="20"/>
        </w:rPr>
        <w:t xml:space="preserve">fire </w:t>
      </w:r>
      <w:r>
        <w:rPr>
          <w:rFonts w:ascii="Georgia" w:hAnsi="Georgia"/>
          <w:sz w:val="20"/>
        </w:rPr>
        <w:t xml:space="preserve">nye stillinger på Avdeling for samfunnsmedisin. </w:t>
      </w:r>
    </w:p>
    <w:p w:rsidR="00AC1E52" w:rsidRPr="00AC1E52" w:rsidRDefault="00840F7F" w:rsidP="00AC1E52">
      <w:pPr>
        <w:rPr>
          <w:rFonts w:ascii="Georgia" w:hAnsi="Georgia"/>
          <w:sz w:val="20"/>
        </w:rPr>
      </w:pPr>
      <w:r>
        <w:rPr>
          <w:rFonts w:ascii="Georgia" w:hAnsi="Georgia"/>
          <w:sz w:val="20"/>
        </w:rPr>
        <w:t>Instituttet har også hatt fokus på våre interne rutiner for godkjenning av forskningsprosjekter</w:t>
      </w:r>
      <w:r w:rsidR="00327063">
        <w:rPr>
          <w:rFonts w:ascii="Georgia" w:hAnsi="Georgia"/>
          <w:sz w:val="20"/>
        </w:rPr>
        <w:t xml:space="preserve"> for å sikre etterlevelse av kvalitetssystemet.</w:t>
      </w:r>
      <w:r>
        <w:rPr>
          <w:rFonts w:ascii="Georgia" w:hAnsi="Georgia"/>
          <w:sz w:val="20"/>
        </w:rPr>
        <w:t xml:space="preserve"> </w:t>
      </w:r>
      <w:r w:rsidR="00AC1E52">
        <w:rPr>
          <w:rFonts w:ascii="Georgia" w:hAnsi="Georgia"/>
          <w:sz w:val="20"/>
        </w:rPr>
        <w:t xml:space="preserve"> </w:t>
      </w:r>
    </w:p>
    <w:p w:rsidR="00866FA5" w:rsidRPr="00866FA5" w:rsidRDefault="00866FA5" w:rsidP="00866FA5">
      <w:pPr>
        <w:pStyle w:val="Heading3"/>
        <w:numPr>
          <w:ilvl w:val="0"/>
          <w:numId w:val="1"/>
        </w:numPr>
        <w:rPr>
          <w:rFonts w:ascii="Georgia" w:hAnsi="Georgia"/>
        </w:rPr>
      </w:pPr>
      <w:r w:rsidRPr="00866FA5">
        <w:rPr>
          <w:rFonts w:ascii="Georgia" w:hAnsi="Georgia"/>
        </w:rPr>
        <w:t xml:space="preserve">Vurdering  av </w:t>
      </w:r>
      <w:r w:rsidR="00203DB2">
        <w:rPr>
          <w:rFonts w:ascii="Georgia" w:hAnsi="Georgia"/>
        </w:rPr>
        <w:t>status</w:t>
      </w:r>
    </w:p>
    <w:p w:rsidR="00D63D1C" w:rsidRDefault="00FE5C4B" w:rsidP="00D63D1C">
      <w:pPr>
        <w:pStyle w:val="Heading3"/>
        <w:numPr>
          <w:ilvl w:val="1"/>
          <w:numId w:val="16"/>
        </w:numPr>
        <w:ind w:left="720"/>
        <w:rPr>
          <w:rFonts w:ascii="Georgia" w:hAnsi="Georgia"/>
          <w:lang w:val="nb-NO"/>
        </w:rPr>
      </w:pPr>
      <w:r>
        <w:rPr>
          <w:rFonts w:ascii="Georgia" w:hAnsi="Georgia"/>
        </w:rPr>
        <w:t>Vurdering av status for oppnådde resultater/gjennomført aktivitet</w:t>
      </w:r>
      <w:r>
        <w:rPr>
          <w:rFonts w:ascii="Georgia" w:hAnsi="Georgia"/>
          <w:lang w:val="nb-NO"/>
        </w:rPr>
        <w:t xml:space="preserve"> i </w:t>
      </w:r>
      <w:proofErr w:type="spellStart"/>
      <w:r>
        <w:rPr>
          <w:rFonts w:ascii="Georgia" w:hAnsi="Georgia"/>
          <w:lang w:val="nb-NO"/>
        </w:rPr>
        <w:t>hht</w:t>
      </w:r>
      <w:proofErr w:type="spellEnd"/>
      <w:r>
        <w:rPr>
          <w:rFonts w:ascii="Georgia" w:hAnsi="Georgia"/>
          <w:lang w:val="nb-NO"/>
        </w:rPr>
        <w:t>. Årsplan</w:t>
      </w:r>
    </w:p>
    <w:p w:rsidR="00840F7F" w:rsidRPr="00840F7F" w:rsidRDefault="00840F7F" w:rsidP="00840F7F">
      <w:pPr>
        <w:rPr>
          <w:rFonts w:ascii="Georgia" w:hAnsi="Georgia"/>
          <w:sz w:val="20"/>
        </w:rPr>
      </w:pPr>
      <w:proofErr w:type="spellStart"/>
      <w:r>
        <w:rPr>
          <w:rFonts w:ascii="Georgia" w:hAnsi="Georgia"/>
          <w:sz w:val="20"/>
        </w:rPr>
        <w:t>Helsams</w:t>
      </w:r>
      <w:proofErr w:type="spellEnd"/>
      <w:r>
        <w:rPr>
          <w:rFonts w:ascii="Georgia" w:hAnsi="Georgia"/>
          <w:sz w:val="20"/>
        </w:rPr>
        <w:t xml:space="preserve"> årsplan for 2015-17 ble gjennomgått av ny instituttleder og nytt instituttråd tidlig i vinter med tanke på konkretisering og prioritering av tiltak. I hovedsak er de prioriterte tiltakene gjennomført, men noen av aktiviteten er kommet senere i gang enn planlagt. </w:t>
      </w:r>
    </w:p>
    <w:p w:rsidR="007C433F" w:rsidRPr="007C433F" w:rsidRDefault="00D63D1C" w:rsidP="007C433F">
      <w:pPr>
        <w:pStyle w:val="Heading3"/>
        <w:numPr>
          <w:ilvl w:val="1"/>
          <w:numId w:val="16"/>
        </w:numPr>
        <w:ind w:left="720"/>
        <w:rPr>
          <w:rFonts w:ascii="Georgia" w:hAnsi="Georgia"/>
          <w:lang w:val="nb-NO"/>
        </w:rPr>
      </w:pPr>
      <w:r w:rsidRPr="00D63D1C">
        <w:rPr>
          <w:rFonts w:ascii="Georgia" w:hAnsi="Georgia"/>
        </w:rPr>
        <w:t>Vurdering av årsverk</w:t>
      </w:r>
      <w:r w:rsidR="001E0EE7">
        <w:rPr>
          <w:rFonts w:ascii="Georgia" w:hAnsi="Georgia"/>
          <w:lang w:val="nb-NO"/>
        </w:rPr>
        <w:t>sutvikling</w:t>
      </w:r>
    </w:p>
    <w:p w:rsidR="00F02BDE" w:rsidRPr="00F02BDE" w:rsidRDefault="00944ABC" w:rsidP="00F02BDE">
      <w:pPr>
        <w:numPr>
          <w:ilvl w:val="0"/>
          <w:numId w:val="17"/>
        </w:numPr>
        <w:spacing w:before="240" w:after="0"/>
        <w:rPr>
          <w:rFonts w:ascii="Georgia" w:hAnsi="Georgia"/>
          <w:sz w:val="20"/>
        </w:rPr>
      </w:pPr>
      <w:r>
        <w:rPr>
          <w:rFonts w:ascii="Georgia" w:hAnsi="Georgia"/>
          <w:sz w:val="20"/>
        </w:rPr>
        <w:t>Å</w:t>
      </w:r>
      <w:r w:rsidR="003223B9" w:rsidRPr="00944ABC">
        <w:rPr>
          <w:rFonts w:ascii="Georgia" w:hAnsi="Georgia"/>
          <w:sz w:val="20"/>
        </w:rPr>
        <w:t>rsverksutvikling</w:t>
      </w:r>
      <w:r>
        <w:rPr>
          <w:rFonts w:ascii="Georgia" w:hAnsi="Georgia"/>
          <w:sz w:val="20"/>
        </w:rPr>
        <w:t xml:space="preserve"> generelt</w:t>
      </w:r>
      <w:r w:rsidR="00F02BDE">
        <w:rPr>
          <w:rFonts w:ascii="Georgia" w:hAnsi="Georgia"/>
          <w:sz w:val="20"/>
        </w:rPr>
        <w:br/>
      </w:r>
      <w:proofErr w:type="spellStart"/>
      <w:r w:rsidR="00BD7317">
        <w:rPr>
          <w:rFonts w:ascii="Georgia" w:hAnsi="Georgia"/>
          <w:sz w:val="20"/>
        </w:rPr>
        <w:t>Helsam</w:t>
      </w:r>
      <w:proofErr w:type="spellEnd"/>
      <w:r w:rsidR="00F02BDE">
        <w:rPr>
          <w:rFonts w:ascii="Georgia" w:hAnsi="Georgia"/>
          <w:sz w:val="20"/>
        </w:rPr>
        <w:t xml:space="preserve"> har hatt en ster</w:t>
      </w:r>
      <w:r w:rsidR="00BD7317">
        <w:rPr>
          <w:rFonts w:ascii="Georgia" w:hAnsi="Georgia"/>
          <w:sz w:val="20"/>
        </w:rPr>
        <w:t xml:space="preserve">k vekst fra opprettelsen i 2010. Tre viktige årsaker er opprettelsen av to nye masterprogrammer, desentraliseringen av personal- og økonomiadministrasjon fra fakultetsnivået og økt eksternfinansiert virksomhet. </w:t>
      </w:r>
    </w:p>
    <w:p w:rsidR="007C433F" w:rsidRPr="007C433F" w:rsidRDefault="00D860E6" w:rsidP="007C433F">
      <w:pPr>
        <w:numPr>
          <w:ilvl w:val="0"/>
          <w:numId w:val="17"/>
        </w:numPr>
        <w:spacing w:before="240" w:after="0"/>
        <w:rPr>
          <w:rFonts w:ascii="Georgia" w:hAnsi="Georgia"/>
          <w:sz w:val="20"/>
        </w:rPr>
      </w:pPr>
      <w:r w:rsidRPr="007C433F">
        <w:rPr>
          <w:rFonts w:ascii="Georgia" w:hAnsi="Georgia"/>
          <w:sz w:val="20"/>
        </w:rPr>
        <w:t>Forholdet mellom vitenskapelig</w:t>
      </w:r>
      <w:r w:rsidR="00C259CF">
        <w:rPr>
          <w:rStyle w:val="FootnoteReference"/>
          <w:rFonts w:cs="Calibri"/>
        </w:rPr>
        <w:footnoteReference w:id="1"/>
      </w:r>
      <w:r w:rsidRPr="007C433F">
        <w:rPr>
          <w:rFonts w:ascii="Georgia" w:hAnsi="Georgia"/>
          <w:sz w:val="20"/>
        </w:rPr>
        <w:t xml:space="preserve"> og administrativ</w:t>
      </w:r>
      <w:r w:rsidR="00F04071" w:rsidRPr="007C433F">
        <w:rPr>
          <w:rFonts w:ascii="Georgia" w:hAnsi="Georgia"/>
          <w:sz w:val="20"/>
        </w:rPr>
        <w:t>t</w:t>
      </w:r>
      <w:r w:rsidR="007C433F" w:rsidRPr="007C433F">
        <w:rPr>
          <w:rFonts w:ascii="Georgia" w:hAnsi="Georgia"/>
          <w:sz w:val="20"/>
        </w:rPr>
        <w:t xml:space="preserve"> ansatte</w:t>
      </w:r>
      <w:r w:rsidR="007C433F" w:rsidRPr="007C433F">
        <w:rPr>
          <w:rFonts w:ascii="Georgia" w:hAnsi="Georgia"/>
          <w:sz w:val="20"/>
        </w:rPr>
        <w:br/>
      </w:r>
      <w:r w:rsidR="007C433F">
        <w:rPr>
          <w:rFonts w:ascii="Georgia" w:hAnsi="Georgia"/>
          <w:sz w:val="20"/>
        </w:rPr>
        <w:t xml:space="preserve">Det er en noe sterkere vekst i administrativt ansatte hvis vi ser hele perioden og begge typer finansiering under ett. </w:t>
      </w:r>
      <w:r w:rsidR="003A13AE">
        <w:rPr>
          <w:rFonts w:ascii="Georgia" w:hAnsi="Georgia"/>
          <w:sz w:val="20"/>
        </w:rPr>
        <w:t xml:space="preserve">Den viktigste årsaken til det er desentraliseringen av personal- og økonomiadministrasjon som kom ved opprettelsen av </w:t>
      </w:r>
      <w:proofErr w:type="spellStart"/>
      <w:r w:rsidR="003A13AE">
        <w:rPr>
          <w:rFonts w:ascii="Georgia" w:hAnsi="Georgia"/>
          <w:sz w:val="20"/>
        </w:rPr>
        <w:t>Helsam</w:t>
      </w:r>
      <w:proofErr w:type="spellEnd"/>
      <w:r w:rsidR="003A13AE">
        <w:rPr>
          <w:rFonts w:ascii="Georgia" w:hAnsi="Georgia"/>
          <w:sz w:val="20"/>
        </w:rPr>
        <w:t xml:space="preserve"> i 2010. I 2011 var en ny bemanningsplan for instituttets administrasjon på plass, og i perioden etter det har det vært en sterkere vekst i vitenskapelige enn administrative årsverk. </w:t>
      </w:r>
      <w:r w:rsidR="00F40315">
        <w:rPr>
          <w:rFonts w:ascii="Georgia" w:hAnsi="Georgia"/>
          <w:sz w:val="20"/>
        </w:rPr>
        <w:br/>
        <w:t xml:space="preserve">Det har også vært en klar tendens til vekst i eksternfinansiert administrative årsverk, og den har kommet samtidig som instituttet på basis har hatt vekst i forskningsadministrative årsverk. Mye av veksten i administrative årsverk kan derfor kobles til </w:t>
      </w:r>
      <w:r w:rsidR="004E1449">
        <w:rPr>
          <w:rFonts w:ascii="Georgia" w:hAnsi="Georgia"/>
          <w:sz w:val="20"/>
        </w:rPr>
        <w:t xml:space="preserve">understøttelse av den eksternfinansierte virksomheten. </w:t>
      </w:r>
    </w:p>
    <w:p w:rsidR="00D860E6" w:rsidRPr="00944ABC" w:rsidRDefault="00D860E6" w:rsidP="008326DC">
      <w:pPr>
        <w:numPr>
          <w:ilvl w:val="0"/>
          <w:numId w:val="17"/>
        </w:numPr>
        <w:spacing w:before="240" w:after="0"/>
        <w:rPr>
          <w:rFonts w:ascii="Georgia" w:hAnsi="Georgia"/>
          <w:sz w:val="20"/>
        </w:rPr>
      </w:pPr>
      <w:r w:rsidRPr="00944ABC">
        <w:rPr>
          <w:rFonts w:ascii="Georgia" w:hAnsi="Georgia"/>
          <w:sz w:val="20"/>
        </w:rPr>
        <w:t>Forholdet mellom basis- og eksternfinansiert virksomhet</w:t>
      </w:r>
      <w:r w:rsidR="003A13AE">
        <w:rPr>
          <w:rFonts w:ascii="Georgia" w:hAnsi="Georgia"/>
          <w:sz w:val="20"/>
        </w:rPr>
        <w:br/>
      </w:r>
      <w:r w:rsidR="00D937D8">
        <w:rPr>
          <w:rFonts w:ascii="Georgia" w:hAnsi="Georgia"/>
          <w:sz w:val="20"/>
        </w:rPr>
        <w:t>I perioden sett under et</w:t>
      </w:r>
      <w:r w:rsidR="003A13AE">
        <w:rPr>
          <w:rFonts w:ascii="Georgia" w:hAnsi="Georgia"/>
          <w:sz w:val="20"/>
        </w:rPr>
        <w:t>t er det ingen forandringer i forholdet mellom basis- og e</w:t>
      </w:r>
      <w:r w:rsidR="00D937D8">
        <w:rPr>
          <w:rFonts w:ascii="Georgia" w:hAnsi="Georgia"/>
          <w:sz w:val="20"/>
        </w:rPr>
        <w:t xml:space="preserve">ksternfinansiert virksomhet. </w:t>
      </w:r>
      <w:r w:rsidR="003A13AE">
        <w:rPr>
          <w:rFonts w:ascii="Georgia" w:hAnsi="Georgia"/>
          <w:sz w:val="20"/>
        </w:rPr>
        <w:t xml:space="preserve"> </w:t>
      </w:r>
      <w:r w:rsidR="00D937D8">
        <w:rPr>
          <w:rFonts w:ascii="Georgia" w:hAnsi="Georgia"/>
          <w:sz w:val="20"/>
        </w:rPr>
        <w:t xml:space="preserve">Mot slutten av </w:t>
      </w:r>
      <w:r w:rsidR="00353391">
        <w:rPr>
          <w:rFonts w:ascii="Georgia" w:hAnsi="Georgia"/>
          <w:sz w:val="20"/>
        </w:rPr>
        <w:t xml:space="preserve">perioden er </w:t>
      </w:r>
      <w:r w:rsidR="00D937D8">
        <w:rPr>
          <w:rFonts w:ascii="Georgia" w:hAnsi="Georgia"/>
          <w:sz w:val="20"/>
        </w:rPr>
        <w:t>likevel</w:t>
      </w:r>
      <w:r w:rsidR="00353391">
        <w:rPr>
          <w:rFonts w:ascii="Georgia" w:hAnsi="Georgia"/>
          <w:sz w:val="20"/>
        </w:rPr>
        <w:t xml:space="preserve"> den eksternfinansierte </w:t>
      </w:r>
      <w:r w:rsidR="00353391">
        <w:rPr>
          <w:rFonts w:ascii="Georgia" w:hAnsi="Georgia"/>
          <w:sz w:val="20"/>
        </w:rPr>
        <w:lastRenderedPageBreak/>
        <w:t xml:space="preserve">virksomheten større enn det årsverksutviklingen viser fordi vi i økende grad frikjøper basisansatte ut i eksterne prosjekter. </w:t>
      </w:r>
      <w:r w:rsidR="00E87B62">
        <w:rPr>
          <w:rFonts w:ascii="Georgia" w:hAnsi="Georgia"/>
          <w:sz w:val="20"/>
        </w:rPr>
        <w:t xml:space="preserve">For 2014 ble det frikjøpt basisansatte svarende til </w:t>
      </w:r>
      <w:proofErr w:type="spellStart"/>
      <w:r w:rsidR="00E87B62">
        <w:rPr>
          <w:rFonts w:ascii="Georgia" w:hAnsi="Georgia"/>
          <w:sz w:val="20"/>
        </w:rPr>
        <w:t>ca</w:t>
      </w:r>
      <w:proofErr w:type="spellEnd"/>
      <w:r w:rsidR="00E87B62">
        <w:rPr>
          <w:rFonts w:ascii="Georgia" w:hAnsi="Georgia"/>
          <w:sz w:val="20"/>
        </w:rPr>
        <w:t xml:space="preserve"> 6 vitenskapelige årsverk. Det økende frikjøpet har skapt både</w:t>
      </w:r>
      <w:r w:rsidR="003A13AE">
        <w:rPr>
          <w:rFonts w:ascii="Georgia" w:hAnsi="Georgia"/>
          <w:sz w:val="20"/>
        </w:rPr>
        <w:t xml:space="preserve"> handlingsrom</w:t>
      </w:r>
      <w:r w:rsidR="00353391">
        <w:rPr>
          <w:rFonts w:ascii="Georgia" w:hAnsi="Georgia"/>
          <w:sz w:val="20"/>
        </w:rPr>
        <w:t xml:space="preserve">- </w:t>
      </w:r>
      <w:r w:rsidR="003A13AE">
        <w:rPr>
          <w:rFonts w:ascii="Georgia" w:hAnsi="Georgia"/>
          <w:sz w:val="20"/>
        </w:rPr>
        <w:t>og behov for flere vikarer i basisvirksomheten</w:t>
      </w:r>
      <w:r w:rsidR="00E87B62">
        <w:rPr>
          <w:rFonts w:ascii="Georgia" w:hAnsi="Georgia"/>
          <w:sz w:val="20"/>
        </w:rPr>
        <w:t>, og er dermed også med på å forklare veksten i midlertidige stillinger på basis</w:t>
      </w:r>
      <w:r w:rsidR="003A13AE">
        <w:rPr>
          <w:rFonts w:ascii="Georgia" w:hAnsi="Georgia"/>
          <w:sz w:val="20"/>
        </w:rPr>
        <w:t xml:space="preserve">. </w:t>
      </w:r>
    </w:p>
    <w:p w:rsidR="00D860E6" w:rsidRPr="00944ABC" w:rsidRDefault="00D860E6" w:rsidP="008326DC">
      <w:pPr>
        <w:numPr>
          <w:ilvl w:val="0"/>
          <w:numId w:val="17"/>
        </w:numPr>
        <w:spacing w:before="240" w:after="0"/>
        <w:rPr>
          <w:rFonts w:ascii="Georgia" w:hAnsi="Georgia"/>
          <w:sz w:val="20"/>
        </w:rPr>
      </w:pPr>
      <w:r w:rsidRPr="00944ABC">
        <w:rPr>
          <w:rFonts w:ascii="Georgia" w:hAnsi="Georgia"/>
          <w:sz w:val="20"/>
        </w:rPr>
        <w:t>Forholdet mellom faste og midlertidige stillinger</w:t>
      </w:r>
      <w:r w:rsidR="00AD21D8">
        <w:rPr>
          <w:rFonts w:ascii="Georgia" w:hAnsi="Georgia"/>
          <w:sz w:val="20"/>
        </w:rPr>
        <w:br/>
      </w:r>
      <w:r w:rsidR="00EF2B0E">
        <w:rPr>
          <w:rFonts w:ascii="Georgia" w:hAnsi="Georgia"/>
          <w:sz w:val="20"/>
        </w:rPr>
        <w:t xml:space="preserve">Det er få midlertidige årsverk blant de administrativt ansatte. Midlertidig ansatte utgjør </w:t>
      </w:r>
      <w:proofErr w:type="spellStart"/>
      <w:r w:rsidR="00EF2B0E">
        <w:rPr>
          <w:rFonts w:ascii="Georgia" w:hAnsi="Georgia"/>
          <w:sz w:val="20"/>
        </w:rPr>
        <w:t>ca</w:t>
      </w:r>
      <w:proofErr w:type="spellEnd"/>
      <w:r w:rsidR="00EF2B0E">
        <w:rPr>
          <w:rFonts w:ascii="Georgia" w:hAnsi="Georgia"/>
          <w:sz w:val="20"/>
        </w:rPr>
        <w:t xml:space="preserve"> </w:t>
      </w:r>
      <w:proofErr w:type="gramStart"/>
      <w:r w:rsidR="00EF2B0E">
        <w:rPr>
          <w:rFonts w:ascii="Georgia" w:hAnsi="Georgia"/>
          <w:sz w:val="20"/>
        </w:rPr>
        <w:t>60%</w:t>
      </w:r>
      <w:proofErr w:type="gramEnd"/>
      <w:r w:rsidR="00EF2B0E">
        <w:rPr>
          <w:rFonts w:ascii="Georgia" w:hAnsi="Georgia"/>
          <w:sz w:val="20"/>
        </w:rPr>
        <w:t xml:space="preserve"> av de vitenskapelig ansatte gjennom hele perioden. Blant de basisfinansierte er det en svak nedgang i andelen midlertidig vitenskapelige. Det er en merkbar nedgang fra 2012 til 2013 som primært skyldes fast tilsetting av praksislærerne i 10. semester. Hvis vi holder rekrutteringsstillingene utenom så er det en klar nedgang i midlertidig ansatte på basis. I den eksternfinansie</w:t>
      </w:r>
      <w:r w:rsidR="00F40315">
        <w:rPr>
          <w:rFonts w:ascii="Georgia" w:hAnsi="Georgia"/>
          <w:sz w:val="20"/>
        </w:rPr>
        <w:t>rte virksomheten er midlertidighet hovedregelen for både vitenskapelige og administrative ansatte.</w:t>
      </w:r>
    </w:p>
    <w:p w:rsidR="00C8434B" w:rsidRDefault="00DA64DF" w:rsidP="008326DC">
      <w:pPr>
        <w:numPr>
          <w:ilvl w:val="0"/>
          <w:numId w:val="17"/>
        </w:numPr>
        <w:spacing w:before="240" w:after="0"/>
        <w:rPr>
          <w:rFonts w:ascii="Georgia" w:hAnsi="Georgia"/>
          <w:sz w:val="20"/>
        </w:rPr>
      </w:pPr>
      <w:r w:rsidRPr="00944ABC">
        <w:rPr>
          <w:rFonts w:ascii="Georgia" w:hAnsi="Georgia"/>
          <w:sz w:val="20"/>
        </w:rPr>
        <w:t>Utvikling i støttestillinger for forskning og undervisning og i tekniske stillinger som påvirker utviklingen for vitenskap</w:t>
      </w:r>
      <w:r w:rsidR="00944ABC">
        <w:rPr>
          <w:rFonts w:ascii="Georgia" w:hAnsi="Georgia"/>
          <w:sz w:val="20"/>
        </w:rPr>
        <w:t>elige og administrative årsverk</w:t>
      </w:r>
      <w:r w:rsidR="007B73DB" w:rsidRPr="007B73DB">
        <w:rPr>
          <w:rFonts w:ascii="Georgia" w:hAnsi="Georgia"/>
          <w:sz w:val="20"/>
        </w:rPr>
        <w:t xml:space="preserve"> </w:t>
      </w:r>
      <w:r w:rsidR="007B73DB">
        <w:rPr>
          <w:rFonts w:ascii="Georgia" w:hAnsi="Georgia"/>
          <w:sz w:val="20"/>
        </w:rPr>
        <w:br/>
        <w:t xml:space="preserve">Vi er </w:t>
      </w:r>
      <w:r w:rsidR="007B73DB" w:rsidRPr="007C433F">
        <w:rPr>
          <w:rFonts w:ascii="Georgia" w:hAnsi="Georgia"/>
          <w:sz w:val="20"/>
        </w:rPr>
        <w:t xml:space="preserve">overrasket over at datagrunnlaget for årsverksutvikling ikke inkluderer tekniske stillinger. De utgjør en svært lav andel av </w:t>
      </w:r>
      <w:proofErr w:type="spellStart"/>
      <w:r w:rsidR="007B73DB" w:rsidRPr="007C433F">
        <w:rPr>
          <w:rFonts w:ascii="Georgia" w:hAnsi="Georgia"/>
          <w:sz w:val="20"/>
        </w:rPr>
        <w:t>Helsams</w:t>
      </w:r>
      <w:proofErr w:type="spellEnd"/>
      <w:r w:rsidR="007B73DB" w:rsidRPr="007C433F">
        <w:rPr>
          <w:rFonts w:ascii="Georgia" w:hAnsi="Georgia"/>
          <w:sz w:val="20"/>
        </w:rPr>
        <w:t xml:space="preserve"> årsverk, men i en sammenligning med øvrige institutter vil vi anta at en beskrivelse av de tekniske årsverkene også vil ha relevans for beskrivelsen av understøttelse av de vitenskapelig ansatte.</w:t>
      </w:r>
    </w:p>
    <w:p w:rsidR="00C259CF" w:rsidRDefault="00C259CF" w:rsidP="00C259CF">
      <w:pPr>
        <w:pStyle w:val="Georgia11spacing10after"/>
        <w:spacing w:after="0"/>
        <w:rPr>
          <w:sz w:val="20"/>
          <w:lang w:val="nb-NO"/>
        </w:rPr>
      </w:pPr>
    </w:p>
    <w:p w:rsidR="00C259CF" w:rsidRDefault="00F02BDE" w:rsidP="00C259CF">
      <w:pPr>
        <w:pStyle w:val="Georgia11spacing10after"/>
        <w:spacing w:after="0"/>
        <w:ind w:left="709"/>
        <w:rPr>
          <w:sz w:val="20"/>
          <w:lang w:val="nb-NO"/>
        </w:rPr>
      </w:pPr>
      <w:r w:rsidRPr="00F02BDE">
        <w:rPr>
          <w:noProof/>
          <w:lang w:val="nb-NO" w:eastAsia="zh-CN"/>
        </w:rPr>
        <w:drawing>
          <wp:inline distT="0" distB="0" distL="0" distR="0" wp14:anchorId="6EB9CA18" wp14:editId="688ADF45">
            <wp:extent cx="5493434" cy="3305908"/>
            <wp:effectExtent l="0" t="0" r="0" b="889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542" cy="3308380"/>
                    </a:xfrm>
                    <a:prstGeom prst="rect">
                      <a:avLst/>
                    </a:prstGeom>
                    <a:noFill/>
                    <a:ln>
                      <a:noFill/>
                    </a:ln>
                  </pic:spPr>
                </pic:pic>
              </a:graphicData>
            </a:graphic>
          </wp:inline>
        </w:drawing>
      </w:r>
    </w:p>
    <w:p w:rsidR="00F40315" w:rsidRDefault="00F40315" w:rsidP="00F40315">
      <w:pPr>
        <w:pStyle w:val="Georgia11spacing10after"/>
        <w:spacing w:after="0"/>
        <w:rPr>
          <w:sz w:val="20"/>
          <w:lang w:val="nb-NO"/>
        </w:rPr>
      </w:pPr>
    </w:p>
    <w:p w:rsidR="00F40315" w:rsidRPr="00D937D8" w:rsidRDefault="00D937D8" w:rsidP="00F40315">
      <w:pPr>
        <w:pStyle w:val="Georgia11spacing10after"/>
        <w:numPr>
          <w:ilvl w:val="0"/>
          <w:numId w:val="17"/>
        </w:numPr>
        <w:spacing w:after="0"/>
        <w:rPr>
          <w:sz w:val="20"/>
          <w:lang w:val="nb-NO"/>
        </w:rPr>
      </w:pPr>
      <w:r w:rsidRPr="00D937D8">
        <w:rPr>
          <w:sz w:val="20"/>
          <w:lang w:val="nb-NO"/>
        </w:rPr>
        <w:t>Forventninger til framtidig årsverksutvikling:</w:t>
      </w:r>
      <w:r>
        <w:rPr>
          <w:sz w:val="20"/>
          <w:lang w:val="nb-NO"/>
        </w:rPr>
        <w:br/>
      </w:r>
      <w:r w:rsidR="00F40315" w:rsidRPr="00D937D8">
        <w:rPr>
          <w:sz w:val="20"/>
          <w:lang w:val="nb-NO"/>
        </w:rPr>
        <w:t xml:space="preserve">I forbindelse med arbeidet med et Rom- og funksjonsprogram for et samlokalisert </w:t>
      </w:r>
      <w:proofErr w:type="spellStart"/>
      <w:r w:rsidR="00F40315" w:rsidRPr="00D937D8">
        <w:rPr>
          <w:sz w:val="20"/>
          <w:lang w:val="nb-NO"/>
        </w:rPr>
        <w:t>Helsam</w:t>
      </w:r>
      <w:proofErr w:type="spellEnd"/>
      <w:r w:rsidR="00F40315" w:rsidRPr="00D937D8">
        <w:rPr>
          <w:sz w:val="20"/>
          <w:lang w:val="nb-NO"/>
        </w:rPr>
        <w:t xml:space="preserve"> er det gjort framskrivninger i dimensjonerende antall ansatte på instituttet. Der er det lagt til grunn en vekst på basis med </w:t>
      </w:r>
      <w:proofErr w:type="gramStart"/>
      <w:r w:rsidR="00F40315" w:rsidRPr="00D937D8">
        <w:rPr>
          <w:sz w:val="20"/>
          <w:lang w:val="nb-NO"/>
        </w:rPr>
        <w:t>10%</w:t>
      </w:r>
      <w:proofErr w:type="gramEnd"/>
      <w:r w:rsidR="00F40315" w:rsidRPr="00D937D8">
        <w:rPr>
          <w:sz w:val="20"/>
          <w:lang w:val="nb-NO"/>
        </w:rPr>
        <w:t xml:space="preserve"> for vitenskapelige årsverk, 20% for administrative årsverk. For eksternfinansiert aktivitet er det lagt til grunn en forventning om vekst på </w:t>
      </w:r>
      <w:proofErr w:type="gramStart"/>
      <w:r w:rsidR="00F40315" w:rsidRPr="00D937D8">
        <w:rPr>
          <w:sz w:val="20"/>
          <w:lang w:val="nb-NO"/>
        </w:rPr>
        <w:t>50%</w:t>
      </w:r>
      <w:proofErr w:type="gramEnd"/>
      <w:r w:rsidR="00F40315" w:rsidRPr="00D937D8">
        <w:rPr>
          <w:sz w:val="20"/>
          <w:lang w:val="nb-NO"/>
        </w:rPr>
        <w:t xml:space="preserve">. </w:t>
      </w:r>
    </w:p>
    <w:p w:rsidR="00C259CF" w:rsidRDefault="00C259CF" w:rsidP="00C259CF">
      <w:pPr>
        <w:pStyle w:val="Georgia11spacing10after"/>
        <w:spacing w:after="0"/>
        <w:ind w:left="709"/>
        <w:rPr>
          <w:sz w:val="20"/>
          <w:lang w:val="nb-NO"/>
        </w:rPr>
      </w:pPr>
    </w:p>
    <w:p w:rsidR="001B453E" w:rsidRDefault="00866FA5" w:rsidP="00AB6BA3">
      <w:pPr>
        <w:pStyle w:val="Heading3"/>
        <w:numPr>
          <w:ilvl w:val="1"/>
          <w:numId w:val="1"/>
        </w:numPr>
        <w:spacing w:before="240"/>
        <w:ind w:left="714" w:hanging="357"/>
        <w:rPr>
          <w:rFonts w:ascii="Georgia" w:hAnsi="Georgia"/>
          <w:lang w:val="nb-NO"/>
        </w:rPr>
      </w:pPr>
      <w:r w:rsidRPr="00AB6BA3">
        <w:rPr>
          <w:rFonts w:ascii="Georgia" w:hAnsi="Georgia"/>
          <w:lang w:val="nb-NO"/>
        </w:rPr>
        <w:lastRenderedPageBreak/>
        <w:t>Status for den økonomiske situasjonen</w:t>
      </w:r>
    </w:p>
    <w:p w:rsidR="00AD21D8" w:rsidRPr="00C20664" w:rsidRDefault="00F41233" w:rsidP="00AD21D8">
      <w:pPr>
        <w:rPr>
          <w:rFonts w:ascii="Georgia" w:hAnsi="Georgia"/>
          <w:sz w:val="20"/>
        </w:rPr>
      </w:pPr>
      <w:r w:rsidRPr="00C20664">
        <w:rPr>
          <w:rFonts w:ascii="Georgia" w:hAnsi="Georgia"/>
          <w:sz w:val="20"/>
        </w:rPr>
        <w:t xml:space="preserve">Underlaget for å vurdere den økonomiske situasjonen er ikke tilgjengelig ennå da regnskapet ikke er avsluttet for august. Vi ettersender dette så snart det er tilgjengelig. </w:t>
      </w:r>
    </w:p>
    <w:p w:rsidR="00353391" w:rsidRPr="00C20664" w:rsidRDefault="00F41233" w:rsidP="00AD21D8">
      <w:pPr>
        <w:rPr>
          <w:rFonts w:ascii="Georgia" w:hAnsi="Georgia"/>
          <w:sz w:val="20"/>
        </w:rPr>
      </w:pPr>
      <w:r w:rsidRPr="00C20664">
        <w:rPr>
          <w:rFonts w:ascii="Georgia" w:hAnsi="Georgia"/>
          <w:sz w:val="20"/>
        </w:rPr>
        <w:t>Noen overordnete kommentarer pr utgangen av juli</w:t>
      </w:r>
      <w:r w:rsidR="00353391" w:rsidRPr="00C20664">
        <w:rPr>
          <w:rFonts w:ascii="Georgia" w:hAnsi="Georgia"/>
          <w:sz w:val="20"/>
        </w:rPr>
        <w:t>:</w:t>
      </w:r>
    </w:p>
    <w:p w:rsidR="00F41233" w:rsidRPr="00C20664" w:rsidRDefault="00353391" w:rsidP="00AD21D8">
      <w:pPr>
        <w:rPr>
          <w:rFonts w:ascii="Georgia" w:hAnsi="Georgia"/>
          <w:sz w:val="20"/>
        </w:rPr>
      </w:pPr>
      <w:r w:rsidRPr="00C20664">
        <w:rPr>
          <w:rFonts w:ascii="Georgia" w:hAnsi="Georgia"/>
          <w:sz w:val="20"/>
        </w:rPr>
        <w:t>E</w:t>
      </w:r>
      <w:r w:rsidR="00F41233" w:rsidRPr="00C20664">
        <w:rPr>
          <w:rFonts w:ascii="Georgia" w:hAnsi="Georgia"/>
          <w:sz w:val="20"/>
        </w:rPr>
        <w:t>ffekten av den eksternfinansierte virksomheten er svakere enn budsjettert (</w:t>
      </w:r>
      <w:proofErr w:type="spellStart"/>
      <w:r w:rsidR="00F41233" w:rsidRPr="00C20664">
        <w:rPr>
          <w:rFonts w:ascii="Georgia" w:hAnsi="Georgia"/>
          <w:sz w:val="20"/>
        </w:rPr>
        <w:t>ca</w:t>
      </w:r>
      <w:proofErr w:type="spellEnd"/>
      <w:r w:rsidR="00F41233" w:rsidRPr="00C20664">
        <w:rPr>
          <w:rFonts w:ascii="Georgia" w:hAnsi="Georgia"/>
          <w:sz w:val="20"/>
        </w:rPr>
        <w:t xml:space="preserve"> 3,5 </w:t>
      </w:r>
      <w:proofErr w:type="spellStart"/>
      <w:r w:rsidR="00F41233" w:rsidRPr="00C20664">
        <w:rPr>
          <w:rFonts w:ascii="Georgia" w:hAnsi="Georgia"/>
          <w:sz w:val="20"/>
        </w:rPr>
        <w:t>mill</w:t>
      </w:r>
      <w:proofErr w:type="spellEnd"/>
      <w:r w:rsidR="00F41233" w:rsidRPr="00C20664">
        <w:rPr>
          <w:rFonts w:ascii="Georgia" w:hAnsi="Georgia"/>
          <w:sz w:val="20"/>
        </w:rPr>
        <w:t>). Dette skyldes at prosjekter er budsjettert med for tidlig oppstart</w:t>
      </w:r>
      <w:r w:rsidRPr="00C20664">
        <w:rPr>
          <w:rFonts w:ascii="Georgia" w:hAnsi="Georgia"/>
          <w:sz w:val="20"/>
        </w:rPr>
        <w:t>, og at det derfor er lavere eksternfinansiert aktivitet enn budsjettert</w:t>
      </w:r>
      <w:r w:rsidR="00F41233" w:rsidRPr="00C20664">
        <w:rPr>
          <w:rFonts w:ascii="Georgia" w:hAnsi="Georgia"/>
          <w:sz w:val="20"/>
        </w:rPr>
        <w:t>. Det er ikke kommet til nye prosjekter som vil ha effekt i år til å motvirke dette.</w:t>
      </w:r>
      <w:r w:rsidRPr="00C20664">
        <w:rPr>
          <w:rFonts w:ascii="Georgia" w:hAnsi="Georgia"/>
          <w:sz w:val="20"/>
        </w:rPr>
        <w:t xml:space="preserve"> </w:t>
      </w:r>
    </w:p>
    <w:p w:rsidR="00F41233" w:rsidRPr="00C20664" w:rsidRDefault="00353391" w:rsidP="00AD21D8">
      <w:pPr>
        <w:rPr>
          <w:rFonts w:ascii="Georgia" w:hAnsi="Georgia"/>
          <w:sz w:val="20"/>
        </w:rPr>
      </w:pPr>
      <w:r w:rsidRPr="00C20664">
        <w:rPr>
          <w:rFonts w:ascii="Georgia" w:hAnsi="Georgia"/>
          <w:sz w:val="20"/>
        </w:rPr>
        <w:t xml:space="preserve">På basis har vi et visst underforbruk på lønn. Det skyldes delvis en feilperiodisering av lønnskostnader som er knyttet til budsjettverktøyet, men det skyldes også at lønnsveksten er svakere enn budsjettert. For 3. tertial ventes innsparing på lønn knyttet til forsinkelser i tilsetting i faste vitenskapelige stillinger. </w:t>
      </w:r>
    </w:p>
    <w:p w:rsidR="005E1A80" w:rsidRDefault="005E1A80" w:rsidP="00870E6A">
      <w:pPr>
        <w:spacing w:after="0" w:line="240" w:lineRule="auto"/>
        <w:rPr>
          <w:rFonts w:ascii="Georgia" w:hAnsi="Georgia"/>
          <w:sz w:val="20"/>
        </w:rPr>
      </w:pPr>
    </w:p>
    <w:tbl>
      <w:tblPr>
        <w:tblW w:w="7245" w:type="dxa"/>
        <w:tblInd w:w="496" w:type="dxa"/>
        <w:tblCellMar>
          <w:left w:w="70" w:type="dxa"/>
          <w:right w:w="70" w:type="dxa"/>
        </w:tblCellMar>
        <w:tblLook w:val="04A0" w:firstRow="1" w:lastRow="0" w:firstColumn="1" w:lastColumn="0" w:noHBand="0" w:noVBand="1"/>
      </w:tblPr>
      <w:tblGrid>
        <w:gridCol w:w="1643"/>
        <w:gridCol w:w="703"/>
        <w:gridCol w:w="703"/>
        <w:gridCol w:w="703"/>
        <w:gridCol w:w="702"/>
        <w:gridCol w:w="702"/>
        <w:gridCol w:w="703"/>
        <w:gridCol w:w="703"/>
        <w:gridCol w:w="683"/>
      </w:tblGrid>
      <w:tr w:rsidR="00BC67B1" w:rsidRPr="00BC67B1" w:rsidTr="00162322">
        <w:trPr>
          <w:trHeight w:val="138"/>
        </w:trPr>
        <w:tc>
          <w:tcPr>
            <w:tcW w:w="1643" w:type="dxa"/>
            <w:tcBorders>
              <w:top w:val="single" w:sz="4" w:space="0" w:color="auto"/>
              <w:left w:val="single" w:sz="4" w:space="0" w:color="auto"/>
              <w:bottom w:val="nil"/>
              <w:right w:val="nil"/>
            </w:tcBorders>
            <w:shd w:val="clear" w:color="auto" w:fill="auto"/>
            <w:noWrap/>
            <w:vAlign w:val="bottom"/>
            <w:hideMark/>
          </w:tcPr>
          <w:p w:rsidR="00BC67B1" w:rsidRPr="00BC67B1" w:rsidRDefault="00BC67B1" w:rsidP="00BC67B1">
            <w:pPr>
              <w:spacing w:after="0" w:line="240" w:lineRule="auto"/>
              <w:rPr>
                <w:rFonts w:eastAsia="Times New Roman"/>
                <w:b/>
                <w:color w:val="000000"/>
                <w:sz w:val="14"/>
                <w:szCs w:val="16"/>
                <w:lang w:eastAsia="zh-CN"/>
              </w:rPr>
            </w:pPr>
          </w:p>
        </w:tc>
        <w:tc>
          <w:tcPr>
            <w:tcW w:w="703" w:type="dxa"/>
            <w:tcBorders>
              <w:top w:val="single" w:sz="4" w:space="0" w:color="auto"/>
              <w:left w:val="single" w:sz="4" w:space="0" w:color="auto"/>
              <w:bottom w:val="nil"/>
              <w:right w:val="single" w:sz="4" w:space="0" w:color="auto"/>
            </w:tcBorders>
            <w:shd w:val="clear" w:color="auto" w:fill="auto"/>
            <w:noWrap/>
            <w:vAlign w:val="bottom"/>
            <w:hideMark/>
          </w:tcPr>
          <w:p w:rsidR="00BC67B1" w:rsidRPr="00BC67B1" w:rsidRDefault="007E5DA9" w:rsidP="00BC67B1">
            <w:pPr>
              <w:spacing w:after="0" w:line="240" w:lineRule="auto"/>
              <w:jc w:val="center"/>
              <w:rPr>
                <w:rFonts w:eastAsia="Times New Roman"/>
                <w:b/>
                <w:bCs/>
                <w:color w:val="000000"/>
                <w:sz w:val="14"/>
                <w:szCs w:val="16"/>
                <w:lang w:eastAsia="zh-CN"/>
              </w:rPr>
            </w:pPr>
            <w:r>
              <w:rPr>
                <w:rFonts w:eastAsia="Times New Roman"/>
                <w:b/>
                <w:bCs/>
                <w:color w:val="000000"/>
                <w:sz w:val="14"/>
                <w:szCs w:val="16"/>
                <w:lang w:eastAsia="zh-CN"/>
              </w:rPr>
              <w:t>Regnskap T2</w:t>
            </w:r>
          </w:p>
        </w:tc>
        <w:tc>
          <w:tcPr>
            <w:tcW w:w="703" w:type="dxa"/>
            <w:tcBorders>
              <w:top w:val="single" w:sz="4" w:space="0" w:color="auto"/>
              <w:left w:val="nil"/>
              <w:bottom w:val="nil"/>
              <w:right w:val="single" w:sz="4" w:space="0" w:color="auto"/>
            </w:tcBorders>
            <w:shd w:val="clear" w:color="auto" w:fill="auto"/>
            <w:noWrap/>
            <w:vAlign w:val="bottom"/>
            <w:hideMark/>
          </w:tcPr>
          <w:p w:rsidR="00BC67B1" w:rsidRPr="00BC67B1" w:rsidRDefault="007E5DA9" w:rsidP="00BC67B1">
            <w:pPr>
              <w:spacing w:after="0" w:line="240" w:lineRule="auto"/>
              <w:jc w:val="center"/>
              <w:rPr>
                <w:rFonts w:eastAsia="Times New Roman"/>
                <w:b/>
                <w:bCs/>
                <w:color w:val="000000"/>
                <w:sz w:val="14"/>
                <w:szCs w:val="16"/>
                <w:lang w:eastAsia="zh-CN"/>
              </w:rPr>
            </w:pPr>
            <w:r>
              <w:rPr>
                <w:rFonts w:eastAsia="Times New Roman"/>
                <w:b/>
                <w:bCs/>
                <w:color w:val="000000"/>
                <w:sz w:val="14"/>
                <w:szCs w:val="16"/>
                <w:lang w:eastAsia="zh-CN"/>
              </w:rPr>
              <w:t>Regnskap T2</w:t>
            </w:r>
          </w:p>
        </w:tc>
        <w:tc>
          <w:tcPr>
            <w:tcW w:w="703"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Års-</w:t>
            </w:r>
          </w:p>
        </w:tc>
        <w:tc>
          <w:tcPr>
            <w:tcW w:w="702"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3"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683" w:type="dxa"/>
            <w:tcBorders>
              <w:top w:val="single" w:sz="4" w:space="0" w:color="auto"/>
              <w:left w:val="nil"/>
              <w:bottom w:val="nil"/>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r>
      <w:tr w:rsidR="00BC67B1" w:rsidRPr="00BC67B1" w:rsidTr="00162322">
        <w:trPr>
          <w:trHeight w:val="138"/>
        </w:trPr>
        <w:tc>
          <w:tcPr>
            <w:tcW w:w="1643" w:type="dxa"/>
            <w:tcBorders>
              <w:top w:val="nil"/>
              <w:left w:val="single" w:sz="4" w:space="0" w:color="auto"/>
              <w:bottom w:val="single" w:sz="4" w:space="0" w:color="auto"/>
              <w:right w:val="nil"/>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2014</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2015</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budsjett</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prognose</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2016</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2017</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2018</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jc w:val="center"/>
              <w:rPr>
                <w:rFonts w:eastAsia="Times New Roman"/>
                <w:b/>
                <w:bCs/>
                <w:color w:val="000000"/>
                <w:sz w:val="14"/>
                <w:szCs w:val="16"/>
                <w:lang w:eastAsia="zh-CN"/>
              </w:rPr>
            </w:pPr>
            <w:r w:rsidRPr="00BC67B1">
              <w:rPr>
                <w:rFonts w:eastAsia="Times New Roman"/>
                <w:b/>
                <w:bCs/>
                <w:color w:val="000000"/>
                <w:sz w:val="14"/>
                <w:szCs w:val="16"/>
                <w:lang w:eastAsia="zh-CN"/>
              </w:rPr>
              <w:t>2019</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xml:space="preserve">Inntekter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AD6DDD">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Personalkostn</w:t>
            </w:r>
            <w:r w:rsidR="00AD6DDD">
              <w:rPr>
                <w:rFonts w:eastAsia="Times New Roman"/>
                <w:color w:val="000000"/>
                <w:sz w:val="14"/>
                <w:szCs w:val="16"/>
                <w:lang w:eastAsia="zh-CN"/>
              </w:rPr>
              <w:t>a</w:t>
            </w:r>
            <w:r w:rsidRPr="00BC67B1">
              <w:rPr>
                <w:rFonts w:eastAsia="Times New Roman"/>
                <w:color w:val="000000"/>
                <w:sz w:val="14"/>
                <w:szCs w:val="16"/>
                <w:lang w:eastAsia="zh-CN"/>
              </w:rPr>
              <w:t>der</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proofErr w:type="spellStart"/>
            <w:r w:rsidRPr="00BC67B1">
              <w:rPr>
                <w:rFonts w:eastAsia="Times New Roman"/>
                <w:color w:val="000000"/>
                <w:sz w:val="14"/>
                <w:szCs w:val="16"/>
                <w:lang w:eastAsia="zh-CN"/>
              </w:rPr>
              <w:t>Driftskostander</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Investeringer</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b/>
                <w:bCs/>
                <w:color w:val="000000"/>
                <w:sz w:val="14"/>
                <w:szCs w:val="16"/>
                <w:lang w:eastAsia="zh-CN"/>
              </w:rPr>
            </w:pPr>
            <w:r w:rsidRPr="00BC67B1">
              <w:rPr>
                <w:rFonts w:eastAsia="Times New Roman"/>
                <w:b/>
                <w:bCs/>
                <w:color w:val="000000"/>
                <w:sz w:val="14"/>
                <w:szCs w:val="16"/>
                <w:lang w:eastAsia="zh-CN"/>
              </w:rPr>
              <w:t>Årsresultat uten nettobidrag og prosjektavslutning</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Nettobidrag</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Prosjektavslutni</w:t>
            </w:r>
            <w:r>
              <w:rPr>
                <w:rFonts w:eastAsia="Times New Roman"/>
                <w:color w:val="000000"/>
                <w:sz w:val="14"/>
                <w:szCs w:val="16"/>
                <w:lang w:eastAsia="zh-CN"/>
              </w:rPr>
              <w:t>n</w:t>
            </w:r>
            <w:r w:rsidRPr="00BC67B1">
              <w:rPr>
                <w:rFonts w:eastAsia="Times New Roman"/>
                <w:color w:val="000000"/>
                <w:sz w:val="14"/>
                <w:szCs w:val="16"/>
                <w:lang w:eastAsia="zh-CN"/>
              </w:rPr>
              <w:t>g</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b/>
                <w:bCs/>
                <w:color w:val="000000"/>
                <w:sz w:val="14"/>
                <w:szCs w:val="16"/>
                <w:lang w:eastAsia="zh-CN"/>
              </w:rPr>
            </w:pPr>
            <w:r w:rsidRPr="00BC67B1">
              <w:rPr>
                <w:rFonts w:eastAsia="Times New Roman"/>
                <w:b/>
                <w:bCs/>
                <w:color w:val="000000"/>
                <w:sz w:val="14"/>
                <w:szCs w:val="16"/>
                <w:lang w:eastAsia="zh-CN"/>
              </w:rPr>
              <w:t>Årsresultat med nettobidrag og prosjektavslutning</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Overført fra i fjor</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auto" w:fill="auto"/>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r w:rsidR="00BC67B1" w:rsidRPr="00BC67B1" w:rsidTr="00162322">
        <w:trPr>
          <w:trHeight w:val="138"/>
        </w:trPr>
        <w:tc>
          <w:tcPr>
            <w:tcW w:w="1643" w:type="dxa"/>
            <w:tcBorders>
              <w:top w:val="nil"/>
              <w:left w:val="single" w:sz="4" w:space="0" w:color="auto"/>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b/>
                <w:bCs/>
                <w:color w:val="000000"/>
                <w:sz w:val="14"/>
                <w:szCs w:val="16"/>
                <w:lang w:eastAsia="zh-CN"/>
              </w:rPr>
            </w:pPr>
            <w:r w:rsidRPr="00BC67B1">
              <w:rPr>
                <w:rFonts w:eastAsia="Times New Roman"/>
                <w:b/>
                <w:bCs/>
                <w:color w:val="000000"/>
                <w:sz w:val="14"/>
                <w:szCs w:val="16"/>
                <w:lang w:eastAsia="zh-CN"/>
              </w:rPr>
              <w:t>Akkumulert resultat</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2"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70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c>
          <w:tcPr>
            <w:tcW w:w="683" w:type="dxa"/>
            <w:tcBorders>
              <w:top w:val="nil"/>
              <w:left w:val="nil"/>
              <w:bottom w:val="single" w:sz="4" w:space="0" w:color="auto"/>
              <w:right w:val="single" w:sz="4" w:space="0" w:color="auto"/>
            </w:tcBorders>
            <w:shd w:val="clear" w:color="000000" w:fill="D9D9D9"/>
            <w:noWrap/>
            <w:vAlign w:val="bottom"/>
            <w:hideMark/>
          </w:tcPr>
          <w:p w:rsidR="00BC67B1" w:rsidRPr="00BC67B1" w:rsidRDefault="00BC67B1" w:rsidP="00BC67B1">
            <w:pPr>
              <w:spacing w:after="0" w:line="240" w:lineRule="auto"/>
              <w:rPr>
                <w:rFonts w:eastAsia="Times New Roman"/>
                <w:color w:val="000000"/>
                <w:sz w:val="14"/>
                <w:szCs w:val="16"/>
                <w:lang w:eastAsia="zh-CN"/>
              </w:rPr>
            </w:pPr>
            <w:r w:rsidRPr="00BC67B1">
              <w:rPr>
                <w:rFonts w:eastAsia="Times New Roman"/>
                <w:color w:val="000000"/>
                <w:sz w:val="14"/>
                <w:szCs w:val="16"/>
                <w:lang w:eastAsia="zh-CN"/>
              </w:rPr>
              <w:t> </w:t>
            </w:r>
          </w:p>
        </w:tc>
      </w:tr>
    </w:tbl>
    <w:p w:rsidR="00A56C5B" w:rsidRDefault="00A56C5B" w:rsidP="00870E6A">
      <w:pPr>
        <w:spacing w:after="0" w:line="240" w:lineRule="auto"/>
        <w:rPr>
          <w:rFonts w:ascii="Georgia" w:hAnsi="Georgia"/>
          <w:sz w:val="20"/>
        </w:rPr>
      </w:pPr>
    </w:p>
    <w:p w:rsidR="00866FA5" w:rsidRPr="00AB6BA3" w:rsidRDefault="00DB5B91" w:rsidP="00866FA5">
      <w:pPr>
        <w:pStyle w:val="Heading3"/>
        <w:numPr>
          <w:ilvl w:val="1"/>
          <w:numId w:val="1"/>
        </w:numPr>
        <w:ind w:left="720"/>
        <w:rPr>
          <w:rFonts w:ascii="Georgia" w:hAnsi="Georgia"/>
          <w:lang w:val="nb-NO"/>
        </w:rPr>
      </w:pPr>
      <w:r>
        <w:rPr>
          <w:rFonts w:ascii="Georgia" w:hAnsi="Georgia"/>
          <w:lang w:val="nb-NO"/>
        </w:rPr>
        <w:t>Andre vesentlige kommentarer</w:t>
      </w:r>
    </w:p>
    <w:p w:rsidR="0001511A" w:rsidRDefault="0001511A" w:rsidP="000477AF">
      <w:pPr>
        <w:ind w:left="360"/>
        <w:rPr>
          <w:rFonts w:ascii="Georgia" w:hAnsi="Georgia"/>
        </w:rPr>
      </w:pPr>
    </w:p>
    <w:p w:rsidR="00353391" w:rsidRDefault="00353391" w:rsidP="000477AF">
      <w:pPr>
        <w:ind w:left="360"/>
        <w:rPr>
          <w:rFonts w:ascii="Georgia" w:hAnsi="Georgia"/>
        </w:rPr>
      </w:pPr>
    </w:p>
    <w:p w:rsidR="009C5987" w:rsidRDefault="00540786" w:rsidP="000477AF">
      <w:pPr>
        <w:ind w:left="360"/>
        <w:rPr>
          <w:rFonts w:ascii="Georgia" w:hAnsi="Georgia"/>
        </w:rPr>
      </w:pPr>
      <w:r>
        <w:rPr>
          <w:rFonts w:ascii="Georgia" w:hAnsi="Georgia"/>
        </w:rPr>
        <w:t>D</w:t>
      </w:r>
      <w:r w:rsidR="009C5987">
        <w:rPr>
          <w:rFonts w:ascii="Georgia" w:hAnsi="Georgia"/>
        </w:rPr>
        <w:t>ato</w:t>
      </w:r>
      <w:r w:rsidR="00273E70">
        <w:rPr>
          <w:rFonts w:ascii="Georgia" w:hAnsi="Georgia"/>
        </w:rPr>
        <w:t>:</w:t>
      </w:r>
      <w:r w:rsidR="00C20664">
        <w:rPr>
          <w:rFonts w:ascii="Georgia" w:hAnsi="Georgia"/>
        </w:rPr>
        <w:t xml:space="preserve"> 17. september 2015</w:t>
      </w:r>
    </w:p>
    <w:p w:rsidR="00D5309A" w:rsidRDefault="00D5309A" w:rsidP="000477AF">
      <w:pPr>
        <w:ind w:left="360"/>
        <w:rPr>
          <w:rFonts w:ascii="Georgia" w:hAnsi="Georgia"/>
        </w:rPr>
      </w:pPr>
    </w:p>
    <w:p w:rsidR="00353391" w:rsidRPr="00353391" w:rsidRDefault="00353391" w:rsidP="00353391">
      <w:pPr>
        <w:ind w:left="360"/>
        <w:rPr>
          <w:rFonts w:ascii="Georgia" w:hAnsi="Georgia"/>
          <w:lang w:val="nn-NO"/>
        </w:rPr>
      </w:pPr>
      <w:r w:rsidRPr="00353391">
        <w:rPr>
          <w:rFonts w:ascii="Georgia" w:hAnsi="Georgia"/>
          <w:lang w:val="nn-NO"/>
        </w:rPr>
        <w:t>Nina K. Vøllestad</w:t>
      </w:r>
      <w:r w:rsidRPr="00353391">
        <w:rPr>
          <w:rFonts w:ascii="Georgia" w:hAnsi="Georgia"/>
          <w:lang w:val="nn-NO"/>
        </w:rPr>
        <w:tab/>
      </w:r>
      <w:r w:rsidRPr="00353391">
        <w:rPr>
          <w:rFonts w:ascii="Georgia" w:hAnsi="Georgia"/>
          <w:lang w:val="nn-NO"/>
        </w:rPr>
        <w:tab/>
      </w:r>
      <w:r w:rsidRPr="00353391">
        <w:rPr>
          <w:rFonts w:ascii="Georgia" w:hAnsi="Georgia"/>
          <w:lang w:val="nn-NO"/>
        </w:rPr>
        <w:tab/>
      </w:r>
      <w:r w:rsidRPr="00353391">
        <w:rPr>
          <w:rFonts w:ascii="Georgia" w:hAnsi="Georgia"/>
          <w:lang w:val="nn-NO"/>
        </w:rPr>
        <w:tab/>
      </w:r>
      <w:r w:rsidRPr="00353391">
        <w:rPr>
          <w:rFonts w:ascii="Georgia" w:hAnsi="Georgia"/>
          <w:lang w:val="nn-NO"/>
        </w:rPr>
        <w:tab/>
      </w:r>
      <w:r w:rsidRPr="00353391">
        <w:rPr>
          <w:rFonts w:ascii="Georgia" w:hAnsi="Georgia"/>
          <w:lang w:val="nn-NO"/>
        </w:rPr>
        <w:tab/>
        <w:t>Knut Tore</w:t>
      </w:r>
      <w:r>
        <w:rPr>
          <w:rFonts w:ascii="Georgia" w:hAnsi="Georgia"/>
          <w:lang w:val="nn-NO"/>
        </w:rPr>
        <w:t xml:space="preserve"> Stokke</w:t>
      </w:r>
      <w:r>
        <w:rPr>
          <w:rFonts w:ascii="Georgia" w:hAnsi="Georgia"/>
          <w:lang w:val="nn-NO"/>
        </w:rPr>
        <w:br/>
        <w:t>instituttled</w:t>
      </w:r>
      <w:bookmarkStart w:id="0" w:name="_GoBack"/>
      <w:bookmarkEnd w:id="0"/>
      <w:r>
        <w:rPr>
          <w:rFonts w:ascii="Georgia" w:hAnsi="Georgia"/>
          <w:lang w:val="nn-NO"/>
        </w:rPr>
        <w:t>er</w:t>
      </w:r>
      <w:r>
        <w:rPr>
          <w:rFonts w:ascii="Georgia" w:hAnsi="Georgia"/>
          <w:lang w:val="nn-NO"/>
        </w:rPr>
        <w:tab/>
      </w:r>
      <w:r>
        <w:rPr>
          <w:rFonts w:ascii="Georgia" w:hAnsi="Georgia"/>
          <w:lang w:val="nn-NO"/>
        </w:rPr>
        <w:tab/>
      </w:r>
      <w:r>
        <w:rPr>
          <w:rFonts w:ascii="Georgia" w:hAnsi="Georgia"/>
          <w:lang w:val="nn-NO"/>
        </w:rPr>
        <w:tab/>
      </w:r>
      <w:r>
        <w:rPr>
          <w:rFonts w:ascii="Georgia" w:hAnsi="Georgia"/>
          <w:lang w:val="nn-NO"/>
        </w:rPr>
        <w:tab/>
      </w:r>
      <w:r>
        <w:rPr>
          <w:rFonts w:ascii="Georgia" w:hAnsi="Georgia"/>
          <w:lang w:val="nn-NO"/>
        </w:rPr>
        <w:tab/>
      </w:r>
      <w:r>
        <w:rPr>
          <w:rFonts w:ascii="Georgia" w:hAnsi="Georgia"/>
          <w:lang w:val="nn-NO"/>
        </w:rPr>
        <w:tab/>
        <w:t>administrasjonssjef</w:t>
      </w:r>
    </w:p>
    <w:sectPr w:rsidR="00353391" w:rsidRPr="00353391" w:rsidSect="006B11C1">
      <w:headerReference w:type="default" r:id="rId10"/>
      <w:footerReference w:type="default" r:id="rId11"/>
      <w:headerReference w:type="first" r:id="rId12"/>
      <w:footerReference w:type="first" r:id="rId13"/>
      <w:pgSz w:w="11906" w:h="16838" w:code="9"/>
      <w:pgMar w:top="861" w:right="1134" w:bottom="1985" w:left="1134"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5E" w:rsidRDefault="00D33D5E" w:rsidP="006F2626">
      <w:pPr>
        <w:spacing w:after="0" w:line="240" w:lineRule="auto"/>
      </w:pPr>
      <w:r>
        <w:separator/>
      </w:r>
    </w:p>
  </w:endnote>
  <w:endnote w:type="continuationSeparator" w:id="0">
    <w:p w:rsidR="00D33D5E" w:rsidRDefault="00D33D5E"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corde BE Regular">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4416D1" w:rsidRDefault="00457355" w:rsidP="00856A20">
    <w:pPr>
      <w:pStyle w:val="Footer"/>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457355" w:rsidRPr="00296BD0" w:rsidTr="005A45D4">
      <w:trPr>
        <w:trHeight w:hRule="exact" w:val="1219"/>
      </w:trPr>
      <w:tc>
        <w:tcPr>
          <w:tcW w:w="7229" w:type="dxa"/>
        </w:tcPr>
        <w:p w:rsidR="00457355" w:rsidRPr="006B327A" w:rsidRDefault="00F02BDE" w:rsidP="005F137E">
          <w:pPr>
            <w:pStyle w:val="Georigia9Bunntekst"/>
            <w:rPr>
              <w:lang w:val="nb-NO" w:eastAsia="nb-NO"/>
            </w:rPr>
          </w:pPr>
          <w:r>
            <w:rPr>
              <w:rFonts w:ascii="Concorde BE Regular" w:hAnsi="Concorde BE Regular"/>
              <w:bCs/>
              <w:color w:val="17365D"/>
              <w:lang w:val="nb-NO" w:eastAsia="nb-NO"/>
            </w:rPr>
            <w:t>Virksomhetsrapport Helsam T2 2015</w:t>
          </w:r>
        </w:p>
      </w:tc>
    </w:tr>
  </w:tbl>
  <w:p w:rsidR="00457355" w:rsidRPr="00296BD0" w:rsidRDefault="00B4466D" w:rsidP="00442F10">
    <w:pPr>
      <w:pStyle w:val="Footer"/>
      <w:ind w:left="2552"/>
    </w:pPr>
    <w:r>
      <w:rPr>
        <w:noProof/>
        <w:lang w:eastAsia="zh-CN"/>
      </w:rPr>
      <w:drawing>
        <wp:anchor distT="0" distB="0" distL="114300" distR="114300" simplePos="0" relativeHeight="251656704" behindDoc="1" locked="0" layoutInCell="1" allowOverlap="1" wp14:anchorId="2E7D9F7C" wp14:editId="245C2560">
          <wp:simplePos x="0" y="0"/>
          <wp:positionH relativeFrom="page">
            <wp:posOffset>824865</wp:posOffset>
          </wp:positionH>
          <wp:positionV relativeFrom="page">
            <wp:posOffset>9530080</wp:posOffset>
          </wp:positionV>
          <wp:extent cx="762000" cy="762000"/>
          <wp:effectExtent l="0" t="0" r="0" b="0"/>
          <wp:wrapNone/>
          <wp:docPr id="1"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5E" w:rsidRDefault="00D33D5E" w:rsidP="006F2626">
      <w:pPr>
        <w:spacing w:after="0" w:line="240" w:lineRule="auto"/>
      </w:pPr>
      <w:r>
        <w:separator/>
      </w:r>
    </w:p>
  </w:footnote>
  <w:footnote w:type="continuationSeparator" w:id="0">
    <w:p w:rsidR="00D33D5E" w:rsidRDefault="00D33D5E" w:rsidP="006F2626">
      <w:pPr>
        <w:spacing w:after="0" w:line="240" w:lineRule="auto"/>
      </w:pPr>
      <w:r>
        <w:continuationSeparator/>
      </w:r>
    </w:p>
  </w:footnote>
  <w:footnote w:id="1">
    <w:p w:rsidR="00C259CF" w:rsidRDefault="00C259CF" w:rsidP="00C259CF">
      <w:pPr>
        <w:pStyle w:val="FootnoteText"/>
      </w:pPr>
      <w:r>
        <w:rPr>
          <w:rStyle w:val="FootnoteReference"/>
        </w:rPr>
        <w:footnoteRef/>
      </w:r>
      <w:r>
        <w:t xml:space="preserve"> </w:t>
      </w:r>
      <w:r w:rsidRPr="00C259CF">
        <w:rPr>
          <w:rFonts w:ascii="Georgia" w:hAnsi="Georgia"/>
          <w:sz w:val="16"/>
          <w:szCs w:val="16"/>
        </w:rPr>
        <w:t xml:space="preserve">Med vitenskapelige årsverk menes alle vitenskapelige årsverk, jf. Kunnskapsdepartementets kategori VIT-4. Dette omfatter følgende stillinger: Professor, Professor II, Dosent, 1. amanuensis, Førstelektor, Amanuensis, </w:t>
      </w:r>
      <w:proofErr w:type="spellStart"/>
      <w:r w:rsidRPr="00C259CF">
        <w:rPr>
          <w:rFonts w:ascii="Georgia" w:hAnsi="Georgia"/>
          <w:sz w:val="16"/>
          <w:szCs w:val="16"/>
        </w:rPr>
        <w:t>Høgsk</w:t>
      </w:r>
      <w:proofErr w:type="spellEnd"/>
      <w:r w:rsidRPr="00C259CF">
        <w:rPr>
          <w:rFonts w:ascii="Georgia" w:hAnsi="Georgia"/>
          <w:sz w:val="16"/>
          <w:szCs w:val="16"/>
        </w:rPr>
        <w:t>.-/</w:t>
      </w:r>
      <w:proofErr w:type="spellStart"/>
      <w:r w:rsidRPr="00C259CF">
        <w:rPr>
          <w:rFonts w:ascii="Georgia" w:hAnsi="Georgia"/>
          <w:sz w:val="16"/>
          <w:szCs w:val="16"/>
        </w:rPr>
        <w:t>univ.lektor</w:t>
      </w:r>
      <w:proofErr w:type="spellEnd"/>
      <w:r w:rsidRPr="00C259CF">
        <w:rPr>
          <w:rFonts w:ascii="Georgia" w:hAnsi="Georgia"/>
          <w:sz w:val="16"/>
          <w:szCs w:val="16"/>
        </w:rPr>
        <w:t xml:space="preserve">, </w:t>
      </w:r>
      <w:proofErr w:type="spellStart"/>
      <w:r w:rsidRPr="00C259CF">
        <w:rPr>
          <w:rFonts w:ascii="Georgia" w:hAnsi="Georgia"/>
          <w:sz w:val="16"/>
          <w:szCs w:val="16"/>
        </w:rPr>
        <w:t>Høgsk.lærer</w:t>
      </w:r>
      <w:proofErr w:type="spellEnd"/>
      <w:r w:rsidRPr="00C259CF">
        <w:rPr>
          <w:rFonts w:ascii="Georgia" w:hAnsi="Georgia"/>
          <w:sz w:val="16"/>
          <w:szCs w:val="16"/>
        </w:rPr>
        <w:t>, Forker (SKO 1108), Postdoktor, Stipendiat</w:t>
      </w:r>
    </w:p>
    <w:p w:rsidR="00C259CF" w:rsidRDefault="00C259CF" w:rsidP="00C259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55" w:rsidRPr="00AC4272" w:rsidRDefault="00B4466D" w:rsidP="000E66F6">
    <w:pPr>
      <w:tabs>
        <w:tab w:val="right" w:pos="9639"/>
      </w:tabs>
      <w:rPr>
        <w:rFonts w:ascii="Georgia" w:hAnsi="Georgia"/>
        <w:b/>
      </w:rPr>
    </w:pPr>
    <w:r>
      <w:rPr>
        <w:noProof/>
        <w:lang w:eastAsia="zh-CN"/>
      </w:rPr>
      <w:drawing>
        <wp:anchor distT="0" distB="0" distL="114300" distR="114300" simplePos="0" relativeHeight="251655680" behindDoc="1" locked="1" layoutInCell="1" allowOverlap="1" wp14:anchorId="7C0A2F6A" wp14:editId="2DC9E23B">
          <wp:simplePos x="0" y="0"/>
          <wp:positionH relativeFrom="page">
            <wp:posOffset>702945</wp:posOffset>
          </wp:positionH>
          <wp:positionV relativeFrom="page">
            <wp:posOffset>423545</wp:posOffset>
          </wp:positionV>
          <wp:extent cx="561975" cy="207645"/>
          <wp:effectExtent l="0" t="0" r="9525" b="1905"/>
          <wp:wrapNone/>
          <wp:docPr id="5"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5">
      <w:rPr>
        <w:rFonts w:ascii="Georgia" w:hAnsi="Georgia"/>
      </w:rPr>
      <w:tab/>
    </w:r>
    <w:r w:rsidR="00457355" w:rsidRPr="00442F10">
      <w:rPr>
        <w:rFonts w:ascii="Georgia" w:hAnsi="Georgia"/>
        <w:b/>
      </w:rPr>
      <w:fldChar w:fldCharType="begin"/>
    </w:r>
    <w:r w:rsidR="00457355" w:rsidRPr="00442F10">
      <w:rPr>
        <w:rFonts w:ascii="Georgia" w:hAnsi="Georgia"/>
      </w:rPr>
      <w:instrText xml:space="preserve"> PAGE   \* MERGEFORMAT </w:instrText>
    </w:r>
    <w:r w:rsidR="00457355" w:rsidRPr="00442F10">
      <w:rPr>
        <w:rFonts w:ascii="Georgia" w:hAnsi="Georgia"/>
        <w:b/>
      </w:rPr>
      <w:fldChar w:fldCharType="separate"/>
    </w:r>
    <w:r w:rsidR="00D937D8">
      <w:rPr>
        <w:rFonts w:ascii="Georgia" w:hAnsi="Georgia"/>
        <w:noProof/>
      </w:rPr>
      <w:t>3</w:t>
    </w:r>
    <w:r w:rsidR="00457355"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457355" w:rsidRPr="00CB1F83" w:rsidTr="00C70BC3">
      <w:tc>
        <w:tcPr>
          <w:tcW w:w="7791" w:type="dxa"/>
        </w:tcPr>
        <w:p w:rsidR="00457355" w:rsidRPr="006B327A" w:rsidRDefault="00457355" w:rsidP="00A6739A">
          <w:pPr>
            <w:pStyle w:val="Topptekstlinje1"/>
            <w:rPr>
              <w:rFonts w:cs="Arial"/>
              <w:lang w:val="nb-NO"/>
            </w:rPr>
          </w:pPr>
          <w:r w:rsidRPr="006B327A">
            <w:rPr>
              <w:rFonts w:cs="Arial"/>
              <w:lang w:val="nb-NO"/>
            </w:rPr>
            <w:t>Universitetet i Oslo</w:t>
          </w:r>
          <w:r w:rsidR="00B4466D">
            <w:rPr>
              <w:rFonts w:cs="Arial"/>
              <w:noProof/>
              <w:lang w:val="nb-NO" w:eastAsia="zh-CN"/>
            </w:rPr>
            <w:drawing>
              <wp:anchor distT="0" distB="0" distL="114300" distR="114300" simplePos="0" relativeHeight="251659776" behindDoc="1" locked="1" layoutInCell="1" allowOverlap="1" wp14:anchorId="34F8BA7D" wp14:editId="45172B12">
                <wp:simplePos x="0" y="0"/>
                <wp:positionH relativeFrom="page">
                  <wp:posOffset>-570230</wp:posOffset>
                </wp:positionH>
                <wp:positionV relativeFrom="page">
                  <wp:posOffset>13335</wp:posOffset>
                </wp:positionV>
                <wp:extent cx="561340" cy="182880"/>
                <wp:effectExtent l="0" t="0" r="0" b="7620"/>
                <wp:wrapNone/>
                <wp:docPr id="4"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457355" w:rsidRPr="006B327A" w:rsidRDefault="00457355" w:rsidP="00C70BC3">
          <w:pPr>
            <w:pStyle w:val="Topptekstlinje1"/>
            <w:jc w:val="right"/>
            <w:rPr>
              <w:rFonts w:cs="Arial"/>
              <w:lang w:val="nb-NO"/>
            </w:rPr>
          </w:pPr>
        </w:p>
      </w:tc>
    </w:tr>
    <w:tr w:rsidR="00457355" w:rsidTr="005F6C42">
      <w:tc>
        <w:tcPr>
          <w:tcW w:w="8890" w:type="dxa"/>
          <w:gridSpan w:val="2"/>
        </w:tcPr>
        <w:p w:rsidR="00457355" w:rsidRPr="006B327A" w:rsidRDefault="00457355" w:rsidP="00FB462F">
          <w:pPr>
            <w:pStyle w:val="Topptekstlinje2"/>
            <w:rPr>
              <w:rFonts w:cs="Arial"/>
              <w:lang w:val="nb-NO"/>
            </w:rPr>
          </w:pPr>
        </w:p>
      </w:tc>
    </w:tr>
  </w:tbl>
  <w:p w:rsidR="00457355" w:rsidRPr="00AA7420" w:rsidRDefault="00B4466D" w:rsidP="00442F10">
    <w:pPr>
      <w:pStyle w:val="Header"/>
      <w:ind w:left="964"/>
      <w:rPr>
        <w:rFonts w:ascii="Georgia" w:hAnsi="Georgia"/>
      </w:rPr>
    </w:pPr>
    <w:r>
      <w:rPr>
        <w:noProof/>
        <w:lang w:val="nb-NO" w:eastAsia="zh-CN"/>
      </w:rPr>
      <w:drawing>
        <wp:anchor distT="0" distB="0" distL="114300" distR="114300" simplePos="0" relativeHeight="251658752" behindDoc="1" locked="1" layoutInCell="1" allowOverlap="1" wp14:anchorId="24DC2D54" wp14:editId="2DC3B68D">
          <wp:simplePos x="0" y="0"/>
          <wp:positionH relativeFrom="page">
            <wp:posOffset>805815</wp:posOffset>
          </wp:positionH>
          <wp:positionV relativeFrom="page">
            <wp:posOffset>4568190</wp:posOffset>
          </wp:positionV>
          <wp:extent cx="798830" cy="798195"/>
          <wp:effectExtent l="0" t="0" r="1270" b="1905"/>
          <wp:wrapNone/>
          <wp:docPr id="3"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b-NO" w:eastAsia="zh-CN"/>
      </w:rPr>
      <w:drawing>
        <wp:anchor distT="0" distB="0" distL="114300" distR="114300" simplePos="0" relativeHeight="251657728" behindDoc="1" locked="1" layoutInCell="1" allowOverlap="1" wp14:anchorId="483EFA31" wp14:editId="331101C5">
          <wp:simplePos x="0" y="0"/>
          <wp:positionH relativeFrom="page">
            <wp:posOffset>805815</wp:posOffset>
          </wp:positionH>
          <wp:positionV relativeFrom="page">
            <wp:posOffset>3718560</wp:posOffset>
          </wp:positionV>
          <wp:extent cx="798830" cy="798195"/>
          <wp:effectExtent l="0" t="0" r="1270" b="1905"/>
          <wp:wrapNone/>
          <wp:docPr id="2"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39A"/>
    <w:multiLevelType w:val="hybridMultilevel"/>
    <w:tmpl w:val="3B64F15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150A9D"/>
    <w:multiLevelType w:val="hybridMultilevel"/>
    <w:tmpl w:val="D3B8ED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AF543E5"/>
    <w:multiLevelType w:val="hybridMultilevel"/>
    <w:tmpl w:val="BFE411C2"/>
    <w:lvl w:ilvl="0" w:tplc="04140001">
      <w:start w:val="1"/>
      <w:numFmt w:val="bullet"/>
      <w:lvlText w:val=""/>
      <w:lvlJc w:val="left"/>
      <w:pPr>
        <w:ind w:left="1429" w:hanging="360"/>
      </w:pPr>
      <w:rPr>
        <w:rFonts w:ascii="Symbol" w:hAnsi="Symbol" w:hint="default"/>
      </w:rPr>
    </w:lvl>
    <w:lvl w:ilvl="1" w:tplc="04140003">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
    <w:nsid w:val="2BB62EA7"/>
    <w:multiLevelType w:val="hybridMultilevel"/>
    <w:tmpl w:val="CB88CA76"/>
    <w:lvl w:ilvl="0" w:tplc="0414000F">
      <w:start w:val="1"/>
      <w:numFmt w:val="decimal"/>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
    <w:nsid w:val="3A563D11"/>
    <w:multiLevelType w:val="hybridMultilevel"/>
    <w:tmpl w:val="F1AE4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EC41C34"/>
    <w:multiLevelType w:val="hybridMultilevel"/>
    <w:tmpl w:val="8034AA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3FAF57E4"/>
    <w:multiLevelType w:val="hybridMultilevel"/>
    <w:tmpl w:val="3B94FB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AE323C7"/>
    <w:multiLevelType w:val="hybridMultilevel"/>
    <w:tmpl w:val="6D0031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4D696CCC"/>
    <w:multiLevelType w:val="hybridMultilevel"/>
    <w:tmpl w:val="832EE53C"/>
    <w:lvl w:ilvl="0" w:tplc="EB1E7AFA">
      <w:start w:val="1"/>
      <w:numFmt w:val="decimal"/>
      <w:lvlText w:val="%1."/>
      <w:lvlJc w:val="left"/>
      <w:pPr>
        <w:ind w:left="775" w:hanging="360"/>
      </w:pPr>
      <w:rPr>
        <w:rFonts w:ascii="Georgia" w:eastAsia="Calibri" w:hAnsi="Georgia" w:cs="Times New Roman"/>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9">
    <w:nsid w:val="62F51707"/>
    <w:multiLevelType w:val="hybridMultilevel"/>
    <w:tmpl w:val="4A262A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642D6941"/>
    <w:multiLevelType w:val="hybridMultilevel"/>
    <w:tmpl w:val="7BBA1A04"/>
    <w:lvl w:ilvl="0" w:tplc="44F4B67A">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75B5E86"/>
    <w:multiLevelType w:val="hybridMultilevel"/>
    <w:tmpl w:val="EA3EDF0E"/>
    <w:lvl w:ilvl="0" w:tplc="8E2A6AF6">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7DD51AA"/>
    <w:multiLevelType w:val="hybridMultilevel"/>
    <w:tmpl w:val="358A5842"/>
    <w:lvl w:ilvl="0" w:tplc="04140001">
      <w:start w:val="1"/>
      <w:numFmt w:val="bullet"/>
      <w:lvlText w:val=""/>
      <w:lvlJc w:val="left"/>
      <w:pPr>
        <w:ind w:left="2520" w:hanging="360"/>
      </w:pPr>
      <w:rPr>
        <w:rFonts w:ascii="Symbol" w:hAnsi="Symbol" w:hint="default"/>
      </w:rPr>
    </w:lvl>
    <w:lvl w:ilvl="1" w:tplc="04140003" w:tentative="1">
      <w:start w:val="1"/>
      <w:numFmt w:val="bullet"/>
      <w:lvlText w:val="o"/>
      <w:lvlJc w:val="left"/>
      <w:pPr>
        <w:ind w:left="3240" w:hanging="360"/>
      </w:pPr>
      <w:rPr>
        <w:rFonts w:ascii="Courier New" w:hAnsi="Courier New" w:cs="Courier New" w:hint="default"/>
      </w:rPr>
    </w:lvl>
    <w:lvl w:ilvl="2" w:tplc="04140005" w:tentative="1">
      <w:start w:val="1"/>
      <w:numFmt w:val="bullet"/>
      <w:lvlText w:val=""/>
      <w:lvlJc w:val="left"/>
      <w:pPr>
        <w:ind w:left="3960" w:hanging="360"/>
      </w:pPr>
      <w:rPr>
        <w:rFonts w:ascii="Wingdings" w:hAnsi="Wingdings" w:hint="default"/>
      </w:rPr>
    </w:lvl>
    <w:lvl w:ilvl="3" w:tplc="04140001" w:tentative="1">
      <w:start w:val="1"/>
      <w:numFmt w:val="bullet"/>
      <w:lvlText w:val=""/>
      <w:lvlJc w:val="left"/>
      <w:pPr>
        <w:ind w:left="4680" w:hanging="360"/>
      </w:pPr>
      <w:rPr>
        <w:rFonts w:ascii="Symbol" w:hAnsi="Symbol" w:hint="default"/>
      </w:rPr>
    </w:lvl>
    <w:lvl w:ilvl="4" w:tplc="04140003" w:tentative="1">
      <w:start w:val="1"/>
      <w:numFmt w:val="bullet"/>
      <w:lvlText w:val="o"/>
      <w:lvlJc w:val="left"/>
      <w:pPr>
        <w:ind w:left="5400" w:hanging="360"/>
      </w:pPr>
      <w:rPr>
        <w:rFonts w:ascii="Courier New" w:hAnsi="Courier New" w:cs="Courier New" w:hint="default"/>
      </w:rPr>
    </w:lvl>
    <w:lvl w:ilvl="5" w:tplc="04140005" w:tentative="1">
      <w:start w:val="1"/>
      <w:numFmt w:val="bullet"/>
      <w:lvlText w:val=""/>
      <w:lvlJc w:val="left"/>
      <w:pPr>
        <w:ind w:left="6120" w:hanging="360"/>
      </w:pPr>
      <w:rPr>
        <w:rFonts w:ascii="Wingdings" w:hAnsi="Wingdings" w:hint="default"/>
      </w:rPr>
    </w:lvl>
    <w:lvl w:ilvl="6" w:tplc="04140001" w:tentative="1">
      <w:start w:val="1"/>
      <w:numFmt w:val="bullet"/>
      <w:lvlText w:val=""/>
      <w:lvlJc w:val="left"/>
      <w:pPr>
        <w:ind w:left="6840" w:hanging="360"/>
      </w:pPr>
      <w:rPr>
        <w:rFonts w:ascii="Symbol" w:hAnsi="Symbol" w:hint="default"/>
      </w:rPr>
    </w:lvl>
    <w:lvl w:ilvl="7" w:tplc="04140003" w:tentative="1">
      <w:start w:val="1"/>
      <w:numFmt w:val="bullet"/>
      <w:lvlText w:val="o"/>
      <w:lvlJc w:val="left"/>
      <w:pPr>
        <w:ind w:left="7560" w:hanging="360"/>
      </w:pPr>
      <w:rPr>
        <w:rFonts w:ascii="Courier New" w:hAnsi="Courier New" w:cs="Courier New" w:hint="default"/>
      </w:rPr>
    </w:lvl>
    <w:lvl w:ilvl="8" w:tplc="04140005" w:tentative="1">
      <w:start w:val="1"/>
      <w:numFmt w:val="bullet"/>
      <w:lvlText w:val=""/>
      <w:lvlJc w:val="left"/>
      <w:pPr>
        <w:ind w:left="8280" w:hanging="360"/>
      </w:pPr>
      <w:rPr>
        <w:rFonts w:ascii="Wingdings" w:hAnsi="Wingdings" w:hint="default"/>
      </w:rPr>
    </w:lvl>
  </w:abstractNum>
  <w:abstractNum w:abstractNumId="13">
    <w:nsid w:val="70276307"/>
    <w:multiLevelType w:val="hybridMultilevel"/>
    <w:tmpl w:val="1E006A5A"/>
    <w:lvl w:ilvl="0" w:tplc="3E14FBF8">
      <w:numFmt w:val="bullet"/>
      <w:lvlText w:val="-"/>
      <w:lvlJc w:val="left"/>
      <w:pPr>
        <w:ind w:left="1429" w:hanging="360"/>
      </w:pPr>
      <w:rPr>
        <w:rFonts w:ascii="Georgia" w:eastAsia="Calibri" w:hAnsi="Georgia" w:cs="Times New Roman"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nsid w:val="72062427"/>
    <w:multiLevelType w:val="hybridMultilevel"/>
    <w:tmpl w:val="55FAF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F467D73"/>
    <w:multiLevelType w:val="hybridMultilevel"/>
    <w:tmpl w:val="D130B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5"/>
  </w:num>
  <w:num w:numId="6">
    <w:abstractNumId w:val="14"/>
  </w:num>
  <w:num w:numId="7">
    <w:abstractNumId w:val="2"/>
  </w:num>
  <w:num w:numId="8">
    <w:abstractNumId w:val="12"/>
  </w:num>
  <w:num w:numId="9">
    <w:abstractNumId w:val="3"/>
  </w:num>
  <w:num w:numId="10">
    <w:abstractNumId w:val="10"/>
  </w:num>
  <w:num w:numId="11">
    <w:abstractNumId w:val="4"/>
  </w:num>
  <w:num w:numId="12">
    <w:abstractNumId w:val="0"/>
  </w:num>
  <w:num w:numId="13">
    <w:abstractNumId w:val="15"/>
  </w:num>
  <w:num w:numId="14">
    <w:abstractNumId w:val="11"/>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AF"/>
    <w:rsid w:val="00006D9D"/>
    <w:rsid w:val="0001511A"/>
    <w:rsid w:val="00025304"/>
    <w:rsid w:val="00031C23"/>
    <w:rsid w:val="00032347"/>
    <w:rsid w:val="000477AF"/>
    <w:rsid w:val="00050EF9"/>
    <w:rsid w:val="00051671"/>
    <w:rsid w:val="000532F9"/>
    <w:rsid w:val="00056B96"/>
    <w:rsid w:val="000711C4"/>
    <w:rsid w:val="000838D4"/>
    <w:rsid w:val="00096BA7"/>
    <w:rsid w:val="000C0466"/>
    <w:rsid w:val="000C5ED5"/>
    <w:rsid w:val="000D7EA4"/>
    <w:rsid w:val="000E0BB5"/>
    <w:rsid w:val="000E66F6"/>
    <w:rsid w:val="00115EB4"/>
    <w:rsid w:val="00121A68"/>
    <w:rsid w:val="00147EC9"/>
    <w:rsid w:val="0015280F"/>
    <w:rsid w:val="001574CA"/>
    <w:rsid w:val="00162322"/>
    <w:rsid w:val="0016697A"/>
    <w:rsid w:val="00170244"/>
    <w:rsid w:val="00174BF1"/>
    <w:rsid w:val="00186BDF"/>
    <w:rsid w:val="001974C3"/>
    <w:rsid w:val="001A43FF"/>
    <w:rsid w:val="001A63F3"/>
    <w:rsid w:val="001A73B3"/>
    <w:rsid w:val="001B389C"/>
    <w:rsid w:val="001B453E"/>
    <w:rsid w:val="001B7A23"/>
    <w:rsid w:val="001C2FDD"/>
    <w:rsid w:val="001C3144"/>
    <w:rsid w:val="001C53D1"/>
    <w:rsid w:val="001C57F8"/>
    <w:rsid w:val="001E0EE7"/>
    <w:rsid w:val="001E1FD6"/>
    <w:rsid w:val="001E61E6"/>
    <w:rsid w:val="001F22EB"/>
    <w:rsid w:val="001F2CDA"/>
    <w:rsid w:val="001F66C7"/>
    <w:rsid w:val="00201362"/>
    <w:rsid w:val="00202A26"/>
    <w:rsid w:val="00203485"/>
    <w:rsid w:val="00203DB2"/>
    <w:rsid w:val="00204F25"/>
    <w:rsid w:val="002059B7"/>
    <w:rsid w:val="0020706A"/>
    <w:rsid w:val="002308E6"/>
    <w:rsid w:val="00233DD2"/>
    <w:rsid w:val="00245B55"/>
    <w:rsid w:val="00245C77"/>
    <w:rsid w:val="002535E6"/>
    <w:rsid w:val="00261A25"/>
    <w:rsid w:val="00273E70"/>
    <w:rsid w:val="00275FA2"/>
    <w:rsid w:val="002806AB"/>
    <w:rsid w:val="00284F0B"/>
    <w:rsid w:val="00291796"/>
    <w:rsid w:val="00296BD0"/>
    <w:rsid w:val="002A1871"/>
    <w:rsid w:val="002A4945"/>
    <w:rsid w:val="002A664E"/>
    <w:rsid w:val="002C0398"/>
    <w:rsid w:val="002C1BB8"/>
    <w:rsid w:val="002E52AC"/>
    <w:rsid w:val="002E6796"/>
    <w:rsid w:val="002E7203"/>
    <w:rsid w:val="002F4AE9"/>
    <w:rsid w:val="002F4F99"/>
    <w:rsid w:val="00303988"/>
    <w:rsid w:val="003157B3"/>
    <w:rsid w:val="0031741E"/>
    <w:rsid w:val="003223B9"/>
    <w:rsid w:val="0032641E"/>
    <w:rsid w:val="00326DE7"/>
    <w:rsid w:val="00327063"/>
    <w:rsid w:val="00332A21"/>
    <w:rsid w:val="00340EA5"/>
    <w:rsid w:val="00353391"/>
    <w:rsid w:val="00353B0E"/>
    <w:rsid w:val="00367266"/>
    <w:rsid w:val="0037450D"/>
    <w:rsid w:val="00381B02"/>
    <w:rsid w:val="0038399D"/>
    <w:rsid w:val="00385FD5"/>
    <w:rsid w:val="00386070"/>
    <w:rsid w:val="003A13AE"/>
    <w:rsid w:val="003A7014"/>
    <w:rsid w:val="003A733F"/>
    <w:rsid w:val="003B044D"/>
    <w:rsid w:val="003B1FAA"/>
    <w:rsid w:val="003B4B8A"/>
    <w:rsid w:val="004008F0"/>
    <w:rsid w:val="00412561"/>
    <w:rsid w:val="004213D6"/>
    <w:rsid w:val="00423F9C"/>
    <w:rsid w:val="00432910"/>
    <w:rsid w:val="004416D1"/>
    <w:rsid w:val="00442F10"/>
    <w:rsid w:val="00457355"/>
    <w:rsid w:val="004609DD"/>
    <w:rsid w:val="00463A04"/>
    <w:rsid w:val="00470255"/>
    <w:rsid w:val="00471DAC"/>
    <w:rsid w:val="00472B98"/>
    <w:rsid w:val="00475B9F"/>
    <w:rsid w:val="00483FE9"/>
    <w:rsid w:val="00485748"/>
    <w:rsid w:val="00485ABD"/>
    <w:rsid w:val="004A099D"/>
    <w:rsid w:val="004A1052"/>
    <w:rsid w:val="004A2EEB"/>
    <w:rsid w:val="004A7A89"/>
    <w:rsid w:val="004B6046"/>
    <w:rsid w:val="004B60B5"/>
    <w:rsid w:val="004C31B3"/>
    <w:rsid w:val="004D63A6"/>
    <w:rsid w:val="004E10D2"/>
    <w:rsid w:val="004E1449"/>
    <w:rsid w:val="004E69B4"/>
    <w:rsid w:val="004F44DB"/>
    <w:rsid w:val="00500CFF"/>
    <w:rsid w:val="00503DE0"/>
    <w:rsid w:val="00507BAE"/>
    <w:rsid w:val="0051239B"/>
    <w:rsid w:val="0053482F"/>
    <w:rsid w:val="00540786"/>
    <w:rsid w:val="00547411"/>
    <w:rsid w:val="00555487"/>
    <w:rsid w:val="00556ECF"/>
    <w:rsid w:val="00557DE7"/>
    <w:rsid w:val="005669BB"/>
    <w:rsid w:val="00571562"/>
    <w:rsid w:val="00574517"/>
    <w:rsid w:val="005747FB"/>
    <w:rsid w:val="005775EB"/>
    <w:rsid w:val="00582B29"/>
    <w:rsid w:val="00585988"/>
    <w:rsid w:val="005A45D4"/>
    <w:rsid w:val="005A5A81"/>
    <w:rsid w:val="005D28E7"/>
    <w:rsid w:val="005D541D"/>
    <w:rsid w:val="005E0D18"/>
    <w:rsid w:val="005E1A80"/>
    <w:rsid w:val="005F137E"/>
    <w:rsid w:val="005F24A8"/>
    <w:rsid w:val="005F5FB5"/>
    <w:rsid w:val="005F6C42"/>
    <w:rsid w:val="00601F3F"/>
    <w:rsid w:val="00605067"/>
    <w:rsid w:val="00611B8F"/>
    <w:rsid w:val="006166B3"/>
    <w:rsid w:val="00624A1D"/>
    <w:rsid w:val="00630C2C"/>
    <w:rsid w:val="00633DF4"/>
    <w:rsid w:val="00637134"/>
    <w:rsid w:val="00641C71"/>
    <w:rsid w:val="00646C8D"/>
    <w:rsid w:val="006513AB"/>
    <w:rsid w:val="006622B4"/>
    <w:rsid w:val="00664F21"/>
    <w:rsid w:val="00675C6A"/>
    <w:rsid w:val="00694823"/>
    <w:rsid w:val="0069792F"/>
    <w:rsid w:val="006B11C1"/>
    <w:rsid w:val="006B2A25"/>
    <w:rsid w:val="006B327A"/>
    <w:rsid w:val="006C4552"/>
    <w:rsid w:val="006D547D"/>
    <w:rsid w:val="006F2626"/>
    <w:rsid w:val="006F5413"/>
    <w:rsid w:val="00707411"/>
    <w:rsid w:val="00712453"/>
    <w:rsid w:val="007165D3"/>
    <w:rsid w:val="0072108B"/>
    <w:rsid w:val="007227B2"/>
    <w:rsid w:val="00724680"/>
    <w:rsid w:val="007266B6"/>
    <w:rsid w:val="007322A0"/>
    <w:rsid w:val="00737E2C"/>
    <w:rsid w:val="00751529"/>
    <w:rsid w:val="00762E07"/>
    <w:rsid w:val="0076588D"/>
    <w:rsid w:val="00775C6D"/>
    <w:rsid w:val="00782857"/>
    <w:rsid w:val="00783D0C"/>
    <w:rsid w:val="0078618F"/>
    <w:rsid w:val="007A1956"/>
    <w:rsid w:val="007A2983"/>
    <w:rsid w:val="007A5E67"/>
    <w:rsid w:val="007B0C5F"/>
    <w:rsid w:val="007B73DB"/>
    <w:rsid w:val="007C433F"/>
    <w:rsid w:val="007D3CB6"/>
    <w:rsid w:val="007E4DBD"/>
    <w:rsid w:val="007E5442"/>
    <w:rsid w:val="007E5DA9"/>
    <w:rsid w:val="007F1A02"/>
    <w:rsid w:val="007F240E"/>
    <w:rsid w:val="00824285"/>
    <w:rsid w:val="008326DC"/>
    <w:rsid w:val="00834245"/>
    <w:rsid w:val="00840F7F"/>
    <w:rsid w:val="00851BF9"/>
    <w:rsid w:val="00856A20"/>
    <w:rsid w:val="00860EAF"/>
    <w:rsid w:val="00865EEC"/>
    <w:rsid w:val="00866FA5"/>
    <w:rsid w:val="00870E6A"/>
    <w:rsid w:val="008766DC"/>
    <w:rsid w:val="00883A2A"/>
    <w:rsid w:val="0089306A"/>
    <w:rsid w:val="008A25EF"/>
    <w:rsid w:val="008A4649"/>
    <w:rsid w:val="008B4A2C"/>
    <w:rsid w:val="008C43B7"/>
    <w:rsid w:val="008D4F3B"/>
    <w:rsid w:val="008D547F"/>
    <w:rsid w:val="008F6165"/>
    <w:rsid w:val="00900188"/>
    <w:rsid w:val="00915F04"/>
    <w:rsid w:val="00921DBC"/>
    <w:rsid w:val="00931ACA"/>
    <w:rsid w:val="00932FA4"/>
    <w:rsid w:val="00944ABC"/>
    <w:rsid w:val="00944D78"/>
    <w:rsid w:val="009471ED"/>
    <w:rsid w:val="00950050"/>
    <w:rsid w:val="0095053A"/>
    <w:rsid w:val="0096155B"/>
    <w:rsid w:val="00963F1D"/>
    <w:rsid w:val="0097517F"/>
    <w:rsid w:val="00982A88"/>
    <w:rsid w:val="00985D9C"/>
    <w:rsid w:val="009A2881"/>
    <w:rsid w:val="009A702C"/>
    <w:rsid w:val="009B0CC4"/>
    <w:rsid w:val="009C5987"/>
    <w:rsid w:val="009D4C81"/>
    <w:rsid w:val="009E7795"/>
    <w:rsid w:val="00A054C6"/>
    <w:rsid w:val="00A11496"/>
    <w:rsid w:val="00A16DC7"/>
    <w:rsid w:val="00A2381F"/>
    <w:rsid w:val="00A40D47"/>
    <w:rsid w:val="00A4466F"/>
    <w:rsid w:val="00A46423"/>
    <w:rsid w:val="00A50B20"/>
    <w:rsid w:val="00A56C5B"/>
    <w:rsid w:val="00A57655"/>
    <w:rsid w:val="00A62B82"/>
    <w:rsid w:val="00A6739A"/>
    <w:rsid w:val="00A7494C"/>
    <w:rsid w:val="00A810CF"/>
    <w:rsid w:val="00A83BEE"/>
    <w:rsid w:val="00A92BE6"/>
    <w:rsid w:val="00A93757"/>
    <w:rsid w:val="00A941EA"/>
    <w:rsid w:val="00AA4879"/>
    <w:rsid w:val="00AA7420"/>
    <w:rsid w:val="00AB27CF"/>
    <w:rsid w:val="00AB4890"/>
    <w:rsid w:val="00AB6BA3"/>
    <w:rsid w:val="00AC1E52"/>
    <w:rsid w:val="00AC4272"/>
    <w:rsid w:val="00AD1719"/>
    <w:rsid w:val="00AD21D8"/>
    <w:rsid w:val="00AD6DDD"/>
    <w:rsid w:val="00AE46FF"/>
    <w:rsid w:val="00AE6604"/>
    <w:rsid w:val="00AF2964"/>
    <w:rsid w:val="00AF7F96"/>
    <w:rsid w:val="00B03978"/>
    <w:rsid w:val="00B16D37"/>
    <w:rsid w:val="00B2218F"/>
    <w:rsid w:val="00B33B57"/>
    <w:rsid w:val="00B43027"/>
    <w:rsid w:val="00B4466D"/>
    <w:rsid w:val="00B45B57"/>
    <w:rsid w:val="00B511F9"/>
    <w:rsid w:val="00B732D5"/>
    <w:rsid w:val="00B74C8D"/>
    <w:rsid w:val="00B83ED3"/>
    <w:rsid w:val="00B8713C"/>
    <w:rsid w:val="00B93ADD"/>
    <w:rsid w:val="00BB5CDD"/>
    <w:rsid w:val="00BC67B1"/>
    <w:rsid w:val="00BD7317"/>
    <w:rsid w:val="00BE2551"/>
    <w:rsid w:val="00C1524A"/>
    <w:rsid w:val="00C20664"/>
    <w:rsid w:val="00C23CF2"/>
    <w:rsid w:val="00C23DA1"/>
    <w:rsid w:val="00C247D6"/>
    <w:rsid w:val="00C259CF"/>
    <w:rsid w:val="00C37D1F"/>
    <w:rsid w:val="00C70BC3"/>
    <w:rsid w:val="00C76EFD"/>
    <w:rsid w:val="00C80F67"/>
    <w:rsid w:val="00C820B6"/>
    <w:rsid w:val="00C8384B"/>
    <w:rsid w:val="00C8434B"/>
    <w:rsid w:val="00C931EE"/>
    <w:rsid w:val="00CA300E"/>
    <w:rsid w:val="00CB0094"/>
    <w:rsid w:val="00CC1A51"/>
    <w:rsid w:val="00CC30C5"/>
    <w:rsid w:val="00CD16CE"/>
    <w:rsid w:val="00CD188B"/>
    <w:rsid w:val="00CE3CC0"/>
    <w:rsid w:val="00CE709C"/>
    <w:rsid w:val="00CF4A25"/>
    <w:rsid w:val="00CF630B"/>
    <w:rsid w:val="00D16491"/>
    <w:rsid w:val="00D1782C"/>
    <w:rsid w:val="00D23ED4"/>
    <w:rsid w:val="00D33D5E"/>
    <w:rsid w:val="00D5309A"/>
    <w:rsid w:val="00D600C5"/>
    <w:rsid w:val="00D60ECA"/>
    <w:rsid w:val="00D6207B"/>
    <w:rsid w:val="00D63D1C"/>
    <w:rsid w:val="00D66790"/>
    <w:rsid w:val="00D860E6"/>
    <w:rsid w:val="00D937D8"/>
    <w:rsid w:val="00DA04D8"/>
    <w:rsid w:val="00DA527E"/>
    <w:rsid w:val="00DA5DB3"/>
    <w:rsid w:val="00DA64DF"/>
    <w:rsid w:val="00DB26FB"/>
    <w:rsid w:val="00DB5AB2"/>
    <w:rsid w:val="00DB5B91"/>
    <w:rsid w:val="00DC1458"/>
    <w:rsid w:val="00DC6F17"/>
    <w:rsid w:val="00DD1C40"/>
    <w:rsid w:val="00DE0893"/>
    <w:rsid w:val="00DE181B"/>
    <w:rsid w:val="00DE293E"/>
    <w:rsid w:val="00DF097B"/>
    <w:rsid w:val="00E03DF1"/>
    <w:rsid w:val="00E210AF"/>
    <w:rsid w:val="00E215F9"/>
    <w:rsid w:val="00E540FF"/>
    <w:rsid w:val="00E57F5E"/>
    <w:rsid w:val="00E64563"/>
    <w:rsid w:val="00E75E14"/>
    <w:rsid w:val="00E77FDC"/>
    <w:rsid w:val="00E8120C"/>
    <w:rsid w:val="00E86121"/>
    <w:rsid w:val="00E87B62"/>
    <w:rsid w:val="00E9178D"/>
    <w:rsid w:val="00EA1493"/>
    <w:rsid w:val="00EA622E"/>
    <w:rsid w:val="00EC0169"/>
    <w:rsid w:val="00EC503D"/>
    <w:rsid w:val="00EC6980"/>
    <w:rsid w:val="00EE0818"/>
    <w:rsid w:val="00EE57D8"/>
    <w:rsid w:val="00EE6F9C"/>
    <w:rsid w:val="00EF1058"/>
    <w:rsid w:val="00EF2B0E"/>
    <w:rsid w:val="00EF541D"/>
    <w:rsid w:val="00EF54F7"/>
    <w:rsid w:val="00F00100"/>
    <w:rsid w:val="00F02BDE"/>
    <w:rsid w:val="00F04071"/>
    <w:rsid w:val="00F26702"/>
    <w:rsid w:val="00F27883"/>
    <w:rsid w:val="00F35EC5"/>
    <w:rsid w:val="00F36B6B"/>
    <w:rsid w:val="00F40315"/>
    <w:rsid w:val="00F41233"/>
    <w:rsid w:val="00F463E1"/>
    <w:rsid w:val="00F50A27"/>
    <w:rsid w:val="00F54A1E"/>
    <w:rsid w:val="00F6487E"/>
    <w:rsid w:val="00F76A8D"/>
    <w:rsid w:val="00F8390D"/>
    <w:rsid w:val="00F96B48"/>
    <w:rsid w:val="00FA06C0"/>
    <w:rsid w:val="00FB462F"/>
    <w:rsid w:val="00FC10BB"/>
    <w:rsid w:val="00FC1276"/>
    <w:rsid w:val="00FD0F1C"/>
    <w:rsid w:val="00FD2016"/>
    <w:rsid w:val="00FD3D9D"/>
    <w:rsid w:val="00FD4641"/>
    <w:rsid w:val="00FD58D8"/>
    <w:rsid w:val="00FE4166"/>
    <w:rsid w:val="00FE5C4B"/>
    <w:rsid w:val="00FE67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paragraph" w:styleId="Heading1">
    <w:name w:val="heading 1"/>
    <w:basedOn w:val="Normal"/>
    <w:next w:val="Normal"/>
    <w:link w:val="Heading1Char"/>
    <w:uiPriority w:val="9"/>
    <w:qFormat/>
    <w:rsid w:val="00866FA5"/>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unhideWhenUsed/>
    <w:qFormat/>
    <w:rsid w:val="00866FA5"/>
    <w:pPr>
      <w:keepNext/>
      <w:keepLines/>
      <w:spacing w:before="200" w:after="0"/>
      <w:outlineLvl w:val="2"/>
    </w:pPr>
    <w:rPr>
      <w:rFonts w:ascii="Cambria" w:eastAsia="Times New Roman"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rPr>
      <w:lang w:val="x-none"/>
    </w:r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b/>
      <w:sz w:val="32"/>
      <w:szCs w:val="32"/>
    </w:rPr>
  </w:style>
  <w:style w:type="paragraph" w:customStyle="1" w:styleId="Topptekstlinje2">
    <w:name w:val="Topptekst_linje2"/>
    <w:basedOn w:val="Header"/>
    <w:link w:val="Topptekstlinje2Char"/>
    <w:qFormat/>
    <w:rsid w:val="00B43027"/>
    <w:rPr>
      <w:rFonts w:ascii="Georgia" w:hAnsi="Georgia"/>
      <w:sz w:val="24"/>
      <w:szCs w:val="24"/>
    </w:rPr>
  </w:style>
  <w:style w:type="character" w:customStyle="1" w:styleId="Topptekstlinje1Char">
    <w:name w:val="Topptekst_linje1 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lang w:val="x-none"/>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lang w:val="x-none"/>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val="x-none" w:eastAsia="x-none"/>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character" w:customStyle="1" w:styleId="Heading1Char">
    <w:name w:val="Heading 1 Char"/>
    <w:link w:val="Heading1"/>
    <w:uiPriority w:val="9"/>
    <w:rsid w:val="00866FA5"/>
    <w:rPr>
      <w:rFonts w:ascii="Cambria" w:eastAsia="Times New Roman" w:hAnsi="Cambria"/>
      <w:b/>
      <w:bCs/>
      <w:color w:val="365F91"/>
      <w:sz w:val="28"/>
      <w:szCs w:val="28"/>
      <w:lang w:eastAsia="en-US"/>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customStyle="1" w:styleId="Heading3Char">
    <w:name w:val="Heading 3 Char"/>
    <w:link w:val="Heading3"/>
    <w:uiPriority w:val="9"/>
    <w:rsid w:val="00866FA5"/>
    <w:rPr>
      <w:rFonts w:ascii="Cambria" w:eastAsia="Times New Roman" w:hAnsi="Cambria"/>
      <w:b/>
      <w:bCs/>
      <w:color w:val="4F81BD"/>
      <w:sz w:val="22"/>
      <w:szCs w:val="22"/>
      <w:lang w:eastAsia="en-US"/>
    </w:rPr>
  </w:style>
  <w:style w:type="paragraph" w:styleId="PlainText">
    <w:name w:val="Plain Text"/>
    <w:basedOn w:val="Normal"/>
    <w:link w:val="PlainTextChar"/>
    <w:uiPriority w:val="99"/>
    <w:semiHidden/>
    <w:unhideWhenUsed/>
    <w:rsid w:val="0015280F"/>
    <w:pPr>
      <w:spacing w:after="0" w:line="240" w:lineRule="auto"/>
    </w:pPr>
    <w:rPr>
      <w:rFonts w:eastAsia="SimSun"/>
      <w:szCs w:val="21"/>
      <w:lang w:eastAsia="zh-CN"/>
    </w:rPr>
  </w:style>
  <w:style w:type="character" w:customStyle="1" w:styleId="PlainTextChar">
    <w:name w:val="Plain Text Char"/>
    <w:link w:val="PlainText"/>
    <w:uiPriority w:val="99"/>
    <w:semiHidden/>
    <w:rsid w:val="0015280F"/>
    <w:rPr>
      <w:rFonts w:eastAsia="SimSun"/>
      <w:sz w:val="22"/>
      <w:szCs w:val="21"/>
    </w:rPr>
  </w:style>
  <w:style w:type="character" w:styleId="CommentReference">
    <w:name w:val="annotation reference"/>
    <w:uiPriority w:val="99"/>
    <w:semiHidden/>
    <w:unhideWhenUsed/>
    <w:rsid w:val="00463A04"/>
    <w:rPr>
      <w:sz w:val="16"/>
      <w:szCs w:val="16"/>
    </w:rPr>
  </w:style>
  <w:style w:type="paragraph" w:styleId="CommentText">
    <w:name w:val="annotation text"/>
    <w:basedOn w:val="Normal"/>
    <w:link w:val="CommentTextChar"/>
    <w:uiPriority w:val="99"/>
    <w:semiHidden/>
    <w:unhideWhenUsed/>
    <w:rsid w:val="00463A04"/>
    <w:pPr>
      <w:spacing w:line="240" w:lineRule="auto"/>
    </w:pPr>
    <w:rPr>
      <w:sz w:val="20"/>
      <w:szCs w:val="20"/>
    </w:rPr>
  </w:style>
  <w:style w:type="character" w:customStyle="1" w:styleId="CommentTextChar">
    <w:name w:val="Comment Text Char"/>
    <w:link w:val="CommentText"/>
    <w:uiPriority w:val="99"/>
    <w:semiHidden/>
    <w:rsid w:val="00463A04"/>
    <w:rPr>
      <w:lang w:eastAsia="en-US"/>
    </w:rPr>
  </w:style>
  <w:style w:type="paragraph" w:styleId="CommentSubject">
    <w:name w:val="annotation subject"/>
    <w:basedOn w:val="CommentText"/>
    <w:next w:val="CommentText"/>
    <w:link w:val="CommentSubjectChar"/>
    <w:uiPriority w:val="99"/>
    <w:semiHidden/>
    <w:unhideWhenUsed/>
    <w:rsid w:val="00463A04"/>
    <w:pPr>
      <w:spacing w:line="276" w:lineRule="auto"/>
    </w:pPr>
    <w:rPr>
      <w:b/>
      <w:bCs/>
    </w:rPr>
  </w:style>
  <w:style w:type="character" w:customStyle="1" w:styleId="CommentSubjectChar">
    <w:name w:val="Comment Subject Char"/>
    <w:link w:val="CommentSubject"/>
    <w:uiPriority w:val="99"/>
    <w:semiHidden/>
    <w:rsid w:val="00463A04"/>
    <w:rPr>
      <w:b/>
      <w:bCs/>
      <w:lang w:eastAsia="en-US"/>
    </w:rPr>
  </w:style>
  <w:style w:type="paragraph" w:styleId="FootnoteText">
    <w:name w:val="footnote text"/>
    <w:basedOn w:val="Normal"/>
    <w:link w:val="FootnoteTextChar"/>
    <w:uiPriority w:val="99"/>
    <w:semiHidden/>
    <w:unhideWhenUsed/>
    <w:rsid w:val="00F04071"/>
    <w:rPr>
      <w:sz w:val="20"/>
      <w:szCs w:val="20"/>
    </w:rPr>
  </w:style>
  <w:style w:type="character" w:customStyle="1" w:styleId="FootnoteTextChar">
    <w:name w:val="Footnote Text Char"/>
    <w:link w:val="FootnoteText"/>
    <w:uiPriority w:val="99"/>
    <w:semiHidden/>
    <w:rsid w:val="00F04071"/>
    <w:rPr>
      <w:lang w:eastAsia="en-US"/>
    </w:rPr>
  </w:style>
  <w:style w:type="character" w:styleId="FootnoteReference">
    <w:name w:val="footnote reference"/>
    <w:uiPriority w:val="99"/>
    <w:semiHidden/>
    <w:unhideWhenUsed/>
    <w:rsid w:val="00F04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614">
      <w:bodyDiv w:val="1"/>
      <w:marLeft w:val="0"/>
      <w:marRight w:val="0"/>
      <w:marTop w:val="0"/>
      <w:marBottom w:val="0"/>
      <w:divBdr>
        <w:top w:val="none" w:sz="0" w:space="0" w:color="auto"/>
        <w:left w:val="none" w:sz="0" w:space="0" w:color="auto"/>
        <w:bottom w:val="none" w:sz="0" w:space="0" w:color="auto"/>
        <w:right w:val="none" w:sz="0" w:space="0" w:color="auto"/>
      </w:divBdr>
    </w:div>
    <w:div w:id="760611708">
      <w:bodyDiv w:val="1"/>
      <w:marLeft w:val="0"/>
      <w:marRight w:val="0"/>
      <w:marTop w:val="0"/>
      <w:marBottom w:val="0"/>
      <w:divBdr>
        <w:top w:val="none" w:sz="0" w:space="0" w:color="auto"/>
        <w:left w:val="none" w:sz="0" w:space="0" w:color="auto"/>
        <w:bottom w:val="none" w:sz="0" w:space="0" w:color="auto"/>
        <w:right w:val="none" w:sz="0" w:space="0" w:color="auto"/>
      </w:divBdr>
    </w:div>
    <w:div w:id="894052559">
      <w:bodyDiv w:val="1"/>
      <w:marLeft w:val="0"/>
      <w:marRight w:val="0"/>
      <w:marTop w:val="0"/>
      <w:marBottom w:val="0"/>
      <w:divBdr>
        <w:top w:val="none" w:sz="0" w:space="0" w:color="auto"/>
        <w:left w:val="none" w:sz="0" w:space="0" w:color="auto"/>
        <w:bottom w:val="none" w:sz="0" w:space="0" w:color="auto"/>
        <w:right w:val="none" w:sz="0" w:space="0" w:color="auto"/>
      </w:divBdr>
    </w:div>
    <w:div w:id="1254707122">
      <w:bodyDiv w:val="1"/>
      <w:marLeft w:val="0"/>
      <w:marRight w:val="0"/>
      <w:marTop w:val="0"/>
      <w:marBottom w:val="0"/>
      <w:divBdr>
        <w:top w:val="none" w:sz="0" w:space="0" w:color="auto"/>
        <w:left w:val="none" w:sz="0" w:space="0" w:color="auto"/>
        <w:bottom w:val="none" w:sz="0" w:space="0" w:color="auto"/>
        <w:right w:val="none" w:sz="0" w:space="0" w:color="auto"/>
      </w:divBdr>
    </w:div>
    <w:div w:id="1434671552">
      <w:bodyDiv w:val="1"/>
      <w:marLeft w:val="0"/>
      <w:marRight w:val="0"/>
      <w:marTop w:val="0"/>
      <w:marBottom w:val="0"/>
      <w:divBdr>
        <w:top w:val="none" w:sz="0" w:space="0" w:color="auto"/>
        <w:left w:val="none" w:sz="0" w:space="0" w:color="auto"/>
        <w:bottom w:val="none" w:sz="0" w:space="0" w:color="auto"/>
        <w:right w:val="none" w:sz="0" w:space="0" w:color="auto"/>
      </w:divBdr>
    </w:div>
    <w:div w:id="1465926224">
      <w:bodyDiv w:val="1"/>
      <w:marLeft w:val="0"/>
      <w:marRight w:val="0"/>
      <w:marTop w:val="0"/>
      <w:marBottom w:val="0"/>
      <w:divBdr>
        <w:top w:val="none" w:sz="0" w:space="0" w:color="auto"/>
        <w:left w:val="none" w:sz="0" w:space="0" w:color="auto"/>
        <w:bottom w:val="none" w:sz="0" w:space="0" w:color="auto"/>
        <w:right w:val="none" w:sz="0" w:space="0" w:color="auto"/>
      </w:divBdr>
    </w:div>
    <w:div w:id="1491874177">
      <w:bodyDiv w:val="1"/>
      <w:marLeft w:val="0"/>
      <w:marRight w:val="0"/>
      <w:marTop w:val="0"/>
      <w:marBottom w:val="0"/>
      <w:divBdr>
        <w:top w:val="none" w:sz="0" w:space="0" w:color="auto"/>
        <w:left w:val="none" w:sz="0" w:space="0" w:color="auto"/>
        <w:bottom w:val="none" w:sz="0" w:space="0" w:color="auto"/>
        <w:right w:val="none" w:sz="0" w:space="0" w:color="auto"/>
      </w:divBdr>
    </w:div>
    <w:div w:id="1605307854">
      <w:bodyDiv w:val="1"/>
      <w:marLeft w:val="0"/>
      <w:marRight w:val="0"/>
      <w:marTop w:val="0"/>
      <w:marBottom w:val="0"/>
      <w:divBdr>
        <w:top w:val="none" w:sz="0" w:space="0" w:color="auto"/>
        <w:left w:val="none" w:sz="0" w:space="0" w:color="auto"/>
        <w:bottom w:val="none" w:sz="0" w:space="0" w:color="auto"/>
        <w:right w:val="none" w:sz="0" w:space="0" w:color="auto"/>
      </w:divBdr>
    </w:div>
    <w:div w:id="1703435006">
      <w:bodyDiv w:val="1"/>
      <w:marLeft w:val="0"/>
      <w:marRight w:val="0"/>
      <w:marTop w:val="0"/>
      <w:marBottom w:val="0"/>
      <w:divBdr>
        <w:top w:val="none" w:sz="0" w:space="0" w:color="auto"/>
        <w:left w:val="none" w:sz="0" w:space="0" w:color="auto"/>
        <w:bottom w:val="none" w:sz="0" w:space="0" w:color="auto"/>
        <w:right w:val="none" w:sz="0" w:space="0" w:color="auto"/>
      </w:divBdr>
    </w:div>
    <w:div w:id="1721711374">
      <w:bodyDiv w:val="1"/>
      <w:marLeft w:val="0"/>
      <w:marRight w:val="0"/>
      <w:marTop w:val="0"/>
      <w:marBottom w:val="0"/>
      <w:divBdr>
        <w:top w:val="none" w:sz="0" w:space="0" w:color="auto"/>
        <w:left w:val="none" w:sz="0" w:space="0" w:color="auto"/>
        <w:bottom w:val="none" w:sz="0" w:space="0" w:color="auto"/>
        <w:right w:val="none" w:sz="0" w:space="0" w:color="auto"/>
      </w:divBdr>
    </w:div>
    <w:div w:id="1764493822">
      <w:bodyDiv w:val="1"/>
      <w:marLeft w:val="0"/>
      <w:marRight w:val="0"/>
      <w:marTop w:val="0"/>
      <w:marBottom w:val="0"/>
      <w:divBdr>
        <w:top w:val="none" w:sz="0" w:space="0" w:color="auto"/>
        <w:left w:val="none" w:sz="0" w:space="0" w:color="auto"/>
        <w:bottom w:val="none" w:sz="0" w:space="0" w:color="auto"/>
        <w:right w:val="none" w:sz="0" w:space="0" w:color="auto"/>
      </w:divBdr>
    </w:div>
    <w:div w:id="1856193423">
      <w:bodyDiv w:val="1"/>
      <w:marLeft w:val="0"/>
      <w:marRight w:val="0"/>
      <w:marTop w:val="0"/>
      <w:marBottom w:val="0"/>
      <w:divBdr>
        <w:top w:val="none" w:sz="0" w:space="0" w:color="auto"/>
        <w:left w:val="none" w:sz="0" w:space="0" w:color="auto"/>
        <w:bottom w:val="none" w:sz="0" w:space="0" w:color="auto"/>
        <w:right w:val="none" w:sz="0" w:space="0" w:color="auto"/>
      </w:divBdr>
    </w:div>
    <w:div w:id="2080210027">
      <w:bodyDiv w:val="1"/>
      <w:marLeft w:val="0"/>
      <w:marRight w:val="0"/>
      <w:marTop w:val="0"/>
      <w:marBottom w:val="0"/>
      <w:divBdr>
        <w:top w:val="none" w:sz="0" w:space="0" w:color="auto"/>
        <w:left w:val="none" w:sz="0" w:space="0" w:color="auto"/>
        <w:bottom w:val="none" w:sz="0" w:space="0" w:color="auto"/>
        <w:right w:val="none" w:sz="0" w:space="0" w:color="auto"/>
      </w:divBdr>
    </w:div>
    <w:div w:id="21083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2449-2D18-4E8B-9F27-49492F30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marilo</dc:creator>
  <cp:lastModifiedBy>Knut Tore Stokke</cp:lastModifiedBy>
  <cp:revision>3</cp:revision>
  <cp:lastPrinted>2015-04-17T13:56:00Z</cp:lastPrinted>
  <dcterms:created xsi:type="dcterms:W3CDTF">2015-09-10T07:53:00Z</dcterms:created>
  <dcterms:modified xsi:type="dcterms:W3CDTF">2015-09-10T07:58:00Z</dcterms:modified>
</cp:coreProperties>
</file>