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EE" w:rsidRPr="006A75AF" w:rsidRDefault="006921AF" w:rsidP="00BE3FEE">
      <w:pPr>
        <w:pStyle w:val="Heading1"/>
      </w:pPr>
      <w:r w:rsidRPr="006A75AF">
        <w:t>Budsjett 2018 - 22</w:t>
      </w:r>
    </w:p>
    <w:p w:rsidR="00A268F0" w:rsidRPr="006A75AF" w:rsidRDefault="00BE3FEE" w:rsidP="00BE3FEE">
      <w:pPr>
        <w:pStyle w:val="Heading2"/>
      </w:pPr>
      <w:r w:rsidRPr="006A75AF">
        <w:t xml:space="preserve">Notat til </w:t>
      </w:r>
      <w:r w:rsidR="006921AF" w:rsidRPr="006A75AF">
        <w:t>instituttrådsm</w:t>
      </w:r>
      <w:r w:rsidRPr="006A75AF">
        <w:t xml:space="preserve">øtet </w:t>
      </w:r>
      <w:r w:rsidR="006921AF" w:rsidRPr="006A75AF">
        <w:t>22.11.2017</w:t>
      </w:r>
    </w:p>
    <w:p w:rsidR="00BE3FEE" w:rsidRPr="006A75AF" w:rsidRDefault="005E5C7F" w:rsidP="00BE3FEE">
      <w:r w:rsidRPr="006A75AF">
        <w:t xml:space="preserve">Fra: </w:t>
      </w:r>
      <w:r w:rsidR="006921AF" w:rsidRPr="006A75AF">
        <w:t>Knut Tore</w:t>
      </w:r>
    </w:p>
    <w:p w:rsidR="00BE3FEE" w:rsidRPr="006A75AF" w:rsidRDefault="00BE3FEE" w:rsidP="00BE3FEE">
      <w:pPr>
        <w:pStyle w:val="Heading2"/>
      </w:pPr>
      <w:r w:rsidRPr="006A75AF">
        <w:t>Bakgrunn</w:t>
      </w:r>
    </w:p>
    <w:p w:rsidR="006921AF" w:rsidRPr="006A75AF" w:rsidRDefault="006921AF" w:rsidP="006921AF">
      <w:r w:rsidRPr="006A75AF">
        <w:t xml:space="preserve">Instituttet har frist 1. desember til å levere budsjett for 2018-22. I tillegg til leveransen av budsjettet skal vi også levere en økonomirapport som beskriver hvilke forutsetninger som er lagt inn i budsjettet.  </w:t>
      </w:r>
    </w:p>
    <w:p w:rsidR="007F0DC5" w:rsidRDefault="003A43BD" w:rsidP="006921AF">
      <w:r w:rsidRPr="006A75AF">
        <w:t xml:space="preserve">Hovedtrekkene i budsjettet er at vi fortsetter med et overforbruk også i 2018 sammenlignet med de nye rammene for basisinntekter. </w:t>
      </w:r>
      <w:r w:rsidR="00E2514A" w:rsidRPr="006A75AF">
        <w:t>I tillegg til reduksjone</w:t>
      </w:r>
      <w:r w:rsidR="00D31C7C" w:rsidRPr="006A75AF">
        <w:t>n i basisinntekter så henger overforbruket</w:t>
      </w:r>
      <w:r w:rsidR="00E2514A" w:rsidRPr="006A75AF">
        <w:t xml:space="preserve"> sammen med høy</w:t>
      </w:r>
      <w:r w:rsidR="007F0DC5" w:rsidRPr="006A75AF">
        <w:t xml:space="preserve"> midlertidig aktivitet </w:t>
      </w:r>
      <w:r w:rsidR="00E2514A" w:rsidRPr="006A75AF">
        <w:t>på basis</w:t>
      </w:r>
      <w:r w:rsidR="007F0DC5" w:rsidRPr="006A75AF">
        <w:t xml:space="preserve">. Egeninnsats i Scientia Fellows, toppforskprosjekt og restartede phd-prosjekter er de viktigste forklaringene på den høye midlertidige aktiviteten. </w:t>
      </w:r>
      <w:r w:rsidR="00E2514A" w:rsidRPr="006A75AF">
        <w:t>Ved utgangen av 2018 vil vi ha pådratt oss et vesentlig akkumulert overforbruk, men vi</w:t>
      </w:r>
      <w:r w:rsidR="007F0DC5" w:rsidRPr="006A75AF">
        <w:t xml:space="preserve"> forventet at vi innen utgangen av 2022 har tatt igjen overforbruket og kommet i balanse. </w:t>
      </w:r>
    </w:p>
    <w:p w:rsidR="00BF6D78" w:rsidRPr="006A75AF" w:rsidRDefault="00BF6D78" w:rsidP="006921AF">
      <w:r>
        <w:t xml:space="preserve">Vi viser til vedlagte utkast for basisbudsjettet slik det foreligger pr 19. november. Det foregår fortsatt kvalitetssikring og justeringer av budsjettet som kan gi utslag, men vi legger til grunn at dette utkastet kan danne basis for instituttrådets diskusjon. </w:t>
      </w:r>
      <w:bookmarkStart w:id="0" w:name="_GoBack"/>
      <w:bookmarkEnd w:id="0"/>
    </w:p>
    <w:p w:rsidR="00BE3FEE" w:rsidRPr="006A75AF" w:rsidRDefault="006921AF" w:rsidP="00BE3FEE">
      <w:pPr>
        <w:pStyle w:val="Heading2"/>
      </w:pPr>
      <w:r w:rsidRPr="006A75AF">
        <w:t>Forutsetninger</w:t>
      </w:r>
    </w:p>
    <w:p w:rsidR="006921AF" w:rsidRPr="006A75AF" w:rsidRDefault="006921AF" w:rsidP="006921AF">
      <w:pPr>
        <w:pStyle w:val="Heading3"/>
      </w:pPr>
      <w:r w:rsidRPr="006A75AF">
        <w:t>Inntekter</w:t>
      </w:r>
    </w:p>
    <w:p w:rsidR="006921AF" w:rsidRPr="006A75AF" w:rsidRDefault="006921AF" w:rsidP="006921AF">
      <w:r w:rsidRPr="006A75AF">
        <w:t xml:space="preserve">Tildelingen av basisinntekter for 2018 er 89,7 mill kr, en vekst på ca 5,4 mill sammenlignet med inneværende år og uten å ta hensyn til lønns- og prisvekst. 1,4 mill av veksten er øremerket primært til Senter for global helse og produksjon av en MOOC. </w:t>
      </w:r>
      <w:r w:rsidR="00F03443" w:rsidRPr="006A75AF">
        <w:t xml:space="preserve">For øvrige detaljer se tildelingsbrevet. </w:t>
      </w:r>
    </w:p>
    <w:p w:rsidR="00F03443" w:rsidRPr="006A75AF" w:rsidRDefault="00F03443" w:rsidP="006921AF">
      <w:r w:rsidRPr="006A75AF">
        <w:t>Instituttet mottar også en del øvrige inntekter fra fakultetet som ikke er en del av tildelingsbrevet. Det gjelder i all hovedsak øremerkede midler som ikke bidrar til å øke vårt økonomiske handlingsrom, men som er en del av forklaringen på hvorfor budsjettoppsettet inkluderer høyere basisinntekter enn det tildelingen gir uttrykk for.</w:t>
      </w:r>
      <w:r w:rsidR="00D31C7C" w:rsidRPr="006A75AF">
        <w:t xml:space="preserve"> Eksempler på slike øremerkede inntekter er frikjøp av Eivind Engebretsen som forskningssjef på fakultetet, ekstra postdoc-årsverk til Senter for global helse og delfinansiering av restartede phd-prosjekter. </w:t>
      </w:r>
      <w:r w:rsidRPr="006A75AF">
        <w:t xml:space="preserve"> </w:t>
      </w:r>
    </w:p>
    <w:p w:rsidR="003175A5" w:rsidRDefault="003175A5" w:rsidP="006921AF">
      <w:r w:rsidRPr="006A75AF">
        <w:t xml:space="preserve">I tillegg til basisinntektene utgjør nettobidrag fra den eksternfinansierte virksomheten en betydelig inntektskilde for instituttet. I budsjettarbeidet framskriver vi forventede nye eksterne inntekter. For 2018 består nettobidraget nesten utelukkende av kjente eksterne prosjekter, mens omfanget av såkalte dummy-prosjekter vokser </w:t>
      </w:r>
      <w:r w:rsidR="00BF6D78">
        <w:t xml:space="preserve">sterkt </w:t>
      </w:r>
      <w:r w:rsidRPr="006A75AF">
        <w:t>utover i perioden.</w:t>
      </w:r>
      <w:r w:rsidR="00BF6D78">
        <w:t xml:space="preserve"> </w:t>
      </w:r>
      <w:r w:rsidRPr="006A75AF">
        <w:t>I utarbeidelsen av dummy-prosjekter legger vi innrapporterte måltall for framtidige inntekter til grunn.</w:t>
      </w:r>
      <w:r w:rsidR="007F0DC5" w:rsidRPr="006A75AF">
        <w:t xml:space="preserve"> I måltallene ligger en forventning om fortsatt noe vekst i NFR og EU-inntekter, mens de øvrige inntektene holdes omtrent stabile i perioden. </w:t>
      </w:r>
      <w:r w:rsidR="003D764E">
        <w:t xml:space="preserve">Allerede fra 2019 vil dummy-prosjekter utgjøre en vesentlig del av forventet nettobidraget. </w:t>
      </w:r>
      <w:r w:rsidRPr="006A75AF">
        <w:t xml:space="preserve"> </w:t>
      </w:r>
    </w:p>
    <w:p w:rsidR="003D764E" w:rsidRDefault="003D764E">
      <w:r>
        <w:br w:type="page"/>
      </w:r>
    </w:p>
    <w:tbl>
      <w:tblPr>
        <w:tblW w:w="7680" w:type="dxa"/>
        <w:tblCellMar>
          <w:left w:w="70" w:type="dxa"/>
          <w:right w:w="70" w:type="dxa"/>
        </w:tblCellMar>
        <w:tblLook w:val="04A0" w:firstRow="1" w:lastRow="0" w:firstColumn="1" w:lastColumn="0" w:noHBand="0" w:noVBand="1"/>
      </w:tblPr>
      <w:tblGrid>
        <w:gridCol w:w="3940"/>
        <w:gridCol w:w="900"/>
        <w:gridCol w:w="880"/>
        <w:gridCol w:w="1000"/>
        <w:gridCol w:w="960"/>
      </w:tblGrid>
      <w:tr w:rsidR="003175A5" w:rsidRPr="003175A5" w:rsidTr="003175A5">
        <w:trPr>
          <w:trHeight w:val="300"/>
        </w:trPr>
        <w:tc>
          <w:tcPr>
            <w:tcW w:w="3940" w:type="dxa"/>
            <w:tcBorders>
              <w:top w:val="nil"/>
              <w:left w:val="nil"/>
              <w:bottom w:val="nil"/>
              <w:right w:val="nil"/>
            </w:tcBorders>
            <w:shd w:val="clear" w:color="auto" w:fill="auto"/>
            <w:noWrap/>
            <w:vAlign w:val="bottom"/>
            <w:hideMark/>
          </w:tcPr>
          <w:p w:rsidR="003175A5" w:rsidRPr="003175A5" w:rsidRDefault="003175A5" w:rsidP="003175A5">
            <w:pPr>
              <w:spacing w:after="0" w:line="240" w:lineRule="auto"/>
              <w:rPr>
                <w:rFonts w:ascii="Times New Roman" w:eastAsia="Times New Roman" w:hAnsi="Times New Roman" w:cs="Times New Roman"/>
                <w:sz w:val="24"/>
                <w:szCs w:val="24"/>
                <w:lang w:eastAsia="nb-NO"/>
              </w:rPr>
            </w:pPr>
          </w:p>
        </w:tc>
        <w:tc>
          <w:tcPr>
            <w:tcW w:w="90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b/>
                <w:bCs/>
                <w:color w:val="000000"/>
                <w:lang w:eastAsia="nb-NO"/>
              </w:rPr>
            </w:pPr>
            <w:r w:rsidRPr="003175A5">
              <w:rPr>
                <w:rFonts w:ascii="Calibri" w:eastAsia="Times New Roman" w:hAnsi="Calibri" w:cs="Times New Roman"/>
                <w:b/>
                <w:bCs/>
                <w:color w:val="000000"/>
                <w:lang w:eastAsia="nb-NO"/>
              </w:rPr>
              <w:t>2019</w:t>
            </w:r>
          </w:p>
        </w:tc>
        <w:tc>
          <w:tcPr>
            <w:tcW w:w="880" w:type="dxa"/>
            <w:tcBorders>
              <w:top w:val="nil"/>
              <w:left w:val="nil"/>
              <w:bottom w:val="nil"/>
              <w:right w:val="nil"/>
            </w:tcBorders>
            <w:shd w:val="clear" w:color="000000" w:fill="EBF1DE"/>
            <w:vAlign w:val="bottom"/>
            <w:hideMark/>
          </w:tcPr>
          <w:p w:rsidR="003175A5" w:rsidRPr="003175A5" w:rsidRDefault="003175A5" w:rsidP="003175A5">
            <w:pPr>
              <w:spacing w:after="0" w:line="240" w:lineRule="auto"/>
              <w:jc w:val="right"/>
              <w:rPr>
                <w:rFonts w:ascii="Calibri" w:eastAsia="Times New Roman" w:hAnsi="Calibri" w:cs="Times New Roman"/>
                <w:b/>
                <w:bCs/>
                <w:color w:val="000000"/>
                <w:lang w:eastAsia="nb-NO"/>
              </w:rPr>
            </w:pPr>
            <w:r w:rsidRPr="003175A5">
              <w:rPr>
                <w:rFonts w:ascii="Calibri" w:eastAsia="Times New Roman" w:hAnsi="Calibri" w:cs="Times New Roman"/>
                <w:b/>
                <w:bCs/>
                <w:color w:val="000000"/>
                <w:lang w:eastAsia="nb-NO"/>
              </w:rPr>
              <w:t>2020</w:t>
            </w:r>
          </w:p>
        </w:tc>
        <w:tc>
          <w:tcPr>
            <w:tcW w:w="100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b/>
                <w:bCs/>
                <w:color w:val="000000"/>
                <w:lang w:eastAsia="nb-NO"/>
              </w:rPr>
            </w:pPr>
            <w:r w:rsidRPr="003175A5">
              <w:rPr>
                <w:rFonts w:ascii="Calibri" w:eastAsia="Times New Roman" w:hAnsi="Calibri" w:cs="Times New Roman"/>
                <w:b/>
                <w:bCs/>
                <w:color w:val="000000"/>
                <w:lang w:eastAsia="nb-NO"/>
              </w:rPr>
              <w:t>2021</w:t>
            </w:r>
          </w:p>
        </w:tc>
        <w:tc>
          <w:tcPr>
            <w:tcW w:w="96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b/>
                <w:bCs/>
                <w:color w:val="000000"/>
                <w:lang w:eastAsia="nb-NO"/>
              </w:rPr>
            </w:pPr>
            <w:r w:rsidRPr="003175A5">
              <w:rPr>
                <w:rFonts w:ascii="Calibri" w:eastAsia="Times New Roman" w:hAnsi="Calibri" w:cs="Times New Roman"/>
                <w:b/>
                <w:bCs/>
                <w:color w:val="000000"/>
                <w:lang w:eastAsia="nb-NO"/>
              </w:rPr>
              <w:t>2022</w:t>
            </w:r>
          </w:p>
        </w:tc>
      </w:tr>
      <w:tr w:rsidR="003175A5" w:rsidRPr="003175A5" w:rsidTr="003175A5">
        <w:trPr>
          <w:trHeight w:val="300"/>
        </w:trPr>
        <w:tc>
          <w:tcPr>
            <w:tcW w:w="3940" w:type="dxa"/>
            <w:tcBorders>
              <w:top w:val="nil"/>
              <w:left w:val="nil"/>
              <w:bottom w:val="nil"/>
              <w:right w:val="nil"/>
            </w:tcBorders>
            <w:shd w:val="clear" w:color="auto" w:fill="auto"/>
            <w:noWrap/>
            <w:vAlign w:val="bottom"/>
            <w:hideMark/>
          </w:tcPr>
          <w:p w:rsidR="003175A5" w:rsidRPr="003175A5" w:rsidRDefault="003175A5" w:rsidP="003175A5">
            <w:pPr>
              <w:spacing w:after="0" w:line="240" w:lineRule="auto"/>
              <w:rPr>
                <w:rFonts w:ascii="Calibri" w:eastAsia="Times New Roman" w:hAnsi="Calibri" w:cs="Times New Roman"/>
                <w:b/>
                <w:bCs/>
                <w:color w:val="000000"/>
                <w:lang w:eastAsia="nb-NO"/>
              </w:rPr>
            </w:pPr>
            <w:r w:rsidRPr="003175A5">
              <w:rPr>
                <w:rFonts w:ascii="Calibri" w:eastAsia="Times New Roman" w:hAnsi="Calibri" w:cs="Times New Roman"/>
                <w:b/>
                <w:bCs/>
                <w:color w:val="000000"/>
                <w:lang w:eastAsia="nb-NO"/>
              </w:rPr>
              <w:t>NFR inntekter</w:t>
            </w:r>
          </w:p>
        </w:tc>
        <w:tc>
          <w:tcPr>
            <w:tcW w:w="90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lang w:eastAsia="nb-NO"/>
              </w:rPr>
            </w:pPr>
            <w:r w:rsidRPr="003175A5">
              <w:rPr>
                <w:rFonts w:ascii="Calibri" w:eastAsia="Times New Roman" w:hAnsi="Calibri" w:cs="Times New Roman"/>
                <w:lang w:eastAsia="nb-NO"/>
              </w:rPr>
              <w:t>50 000</w:t>
            </w:r>
          </w:p>
        </w:tc>
        <w:tc>
          <w:tcPr>
            <w:tcW w:w="88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lang w:eastAsia="nb-NO"/>
              </w:rPr>
            </w:pPr>
            <w:r w:rsidRPr="003175A5">
              <w:rPr>
                <w:rFonts w:ascii="Calibri" w:eastAsia="Times New Roman" w:hAnsi="Calibri" w:cs="Times New Roman"/>
                <w:lang w:eastAsia="nb-NO"/>
              </w:rPr>
              <w:t>50 000</w:t>
            </w:r>
          </w:p>
        </w:tc>
        <w:tc>
          <w:tcPr>
            <w:tcW w:w="100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lang w:eastAsia="nb-NO"/>
              </w:rPr>
            </w:pPr>
            <w:r w:rsidRPr="003175A5">
              <w:rPr>
                <w:rFonts w:ascii="Calibri" w:eastAsia="Times New Roman" w:hAnsi="Calibri" w:cs="Times New Roman"/>
                <w:lang w:eastAsia="nb-NO"/>
              </w:rPr>
              <w:t>55 000</w:t>
            </w:r>
          </w:p>
        </w:tc>
        <w:tc>
          <w:tcPr>
            <w:tcW w:w="96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color w:val="000000"/>
                <w:lang w:eastAsia="nb-NO"/>
              </w:rPr>
            </w:pPr>
            <w:r w:rsidRPr="003175A5">
              <w:rPr>
                <w:rFonts w:ascii="Calibri" w:eastAsia="Times New Roman" w:hAnsi="Calibri" w:cs="Times New Roman"/>
                <w:color w:val="000000"/>
                <w:lang w:eastAsia="nb-NO"/>
              </w:rPr>
              <w:t>55 000</w:t>
            </w:r>
          </w:p>
        </w:tc>
      </w:tr>
      <w:tr w:rsidR="003175A5" w:rsidRPr="003175A5" w:rsidTr="003175A5">
        <w:trPr>
          <w:trHeight w:val="300"/>
        </w:trPr>
        <w:tc>
          <w:tcPr>
            <w:tcW w:w="3940" w:type="dxa"/>
            <w:tcBorders>
              <w:top w:val="nil"/>
              <w:left w:val="nil"/>
              <w:bottom w:val="nil"/>
              <w:right w:val="nil"/>
            </w:tcBorders>
            <w:shd w:val="clear" w:color="auto" w:fill="auto"/>
            <w:noWrap/>
            <w:vAlign w:val="bottom"/>
            <w:hideMark/>
          </w:tcPr>
          <w:p w:rsidR="003175A5" w:rsidRPr="003175A5" w:rsidRDefault="003175A5" w:rsidP="003175A5">
            <w:pPr>
              <w:spacing w:after="0" w:line="240" w:lineRule="auto"/>
              <w:rPr>
                <w:rFonts w:ascii="Calibri" w:eastAsia="Times New Roman" w:hAnsi="Calibri" w:cs="Times New Roman"/>
                <w:b/>
                <w:bCs/>
                <w:color w:val="000000"/>
                <w:lang w:eastAsia="nb-NO"/>
              </w:rPr>
            </w:pPr>
            <w:r w:rsidRPr="003175A5">
              <w:rPr>
                <w:rFonts w:ascii="Calibri" w:eastAsia="Times New Roman" w:hAnsi="Calibri" w:cs="Times New Roman"/>
                <w:b/>
                <w:bCs/>
                <w:color w:val="000000"/>
                <w:lang w:eastAsia="nb-NO"/>
              </w:rPr>
              <w:t xml:space="preserve">EU inntekter (rammeprogram) </w:t>
            </w:r>
          </w:p>
        </w:tc>
        <w:tc>
          <w:tcPr>
            <w:tcW w:w="90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lang w:eastAsia="nb-NO"/>
              </w:rPr>
            </w:pPr>
            <w:r w:rsidRPr="003175A5">
              <w:rPr>
                <w:rFonts w:ascii="Calibri" w:eastAsia="Times New Roman" w:hAnsi="Calibri" w:cs="Times New Roman"/>
                <w:lang w:eastAsia="nb-NO"/>
              </w:rPr>
              <w:t>9 000</w:t>
            </w:r>
          </w:p>
        </w:tc>
        <w:tc>
          <w:tcPr>
            <w:tcW w:w="88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lang w:eastAsia="nb-NO"/>
              </w:rPr>
            </w:pPr>
            <w:r w:rsidRPr="003175A5">
              <w:rPr>
                <w:rFonts w:ascii="Calibri" w:eastAsia="Times New Roman" w:hAnsi="Calibri" w:cs="Times New Roman"/>
                <w:lang w:eastAsia="nb-NO"/>
              </w:rPr>
              <w:t>9 000</w:t>
            </w:r>
          </w:p>
        </w:tc>
        <w:tc>
          <w:tcPr>
            <w:tcW w:w="100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lang w:eastAsia="nb-NO"/>
              </w:rPr>
            </w:pPr>
            <w:r w:rsidRPr="003175A5">
              <w:rPr>
                <w:rFonts w:ascii="Calibri" w:eastAsia="Times New Roman" w:hAnsi="Calibri" w:cs="Times New Roman"/>
                <w:lang w:eastAsia="nb-NO"/>
              </w:rPr>
              <w:t>9 000</w:t>
            </w:r>
          </w:p>
        </w:tc>
        <w:tc>
          <w:tcPr>
            <w:tcW w:w="96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color w:val="000000"/>
                <w:lang w:eastAsia="nb-NO"/>
              </w:rPr>
            </w:pPr>
            <w:r w:rsidRPr="003175A5">
              <w:rPr>
                <w:rFonts w:ascii="Calibri" w:eastAsia="Times New Roman" w:hAnsi="Calibri" w:cs="Times New Roman"/>
                <w:color w:val="000000"/>
                <w:lang w:eastAsia="nb-NO"/>
              </w:rPr>
              <w:t>12 000</w:t>
            </w:r>
          </w:p>
        </w:tc>
      </w:tr>
      <w:tr w:rsidR="003175A5" w:rsidRPr="003175A5" w:rsidTr="003175A5">
        <w:trPr>
          <w:trHeight w:val="300"/>
        </w:trPr>
        <w:tc>
          <w:tcPr>
            <w:tcW w:w="3940" w:type="dxa"/>
            <w:tcBorders>
              <w:top w:val="nil"/>
              <w:left w:val="nil"/>
              <w:bottom w:val="nil"/>
              <w:right w:val="nil"/>
            </w:tcBorders>
            <w:shd w:val="clear" w:color="auto" w:fill="auto"/>
            <w:noWrap/>
            <w:vAlign w:val="bottom"/>
            <w:hideMark/>
          </w:tcPr>
          <w:p w:rsidR="003175A5" w:rsidRPr="003175A5" w:rsidRDefault="003175A5" w:rsidP="003175A5">
            <w:pPr>
              <w:spacing w:after="0" w:line="240" w:lineRule="auto"/>
              <w:rPr>
                <w:rFonts w:ascii="Calibri" w:eastAsia="Times New Roman" w:hAnsi="Calibri" w:cs="Times New Roman"/>
                <w:b/>
                <w:bCs/>
                <w:color w:val="000000"/>
                <w:lang w:eastAsia="nb-NO"/>
              </w:rPr>
            </w:pPr>
            <w:r w:rsidRPr="003175A5">
              <w:rPr>
                <w:rFonts w:ascii="Calibri" w:eastAsia="Times New Roman" w:hAnsi="Calibri" w:cs="Times New Roman"/>
                <w:b/>
                <w:bCs/>
                <w:color w:val="000000"/>
                <w:lang w:eastAsia="nb-NO"/>
              </w:rPr>
              <w:t>Andre inntekter (EFV)</w:t>
            </w:r>
          </w:p>
        </w:tc>
        <w:tc>
          <w:tcPr>
            <w:tcW w:w="90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lang w:eastAsia="nb-NO"/>
              </w:rPr>
            </w:pPr>
            <w:r w:rsidRPr="003175A5">
              <w:rPr>
                <w:rFonts w:ascii="Calibri" w:eastAsia="Times New Roman" w:hAnsi="Calibri" w:cs="Times New Roman"/>
                <w:lang w:eastAsia="nb-NO"/>
              </w:rPr>
              <w:t>59 311</w:t>
            </w:r>
          </w:p>
        </w:tc>
        <w:tc>
          <w:tcPr>
            <w:tcW w:w="88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lang w:eastAsia="nb-NO"/>
              </w:rPr>
            </w:pPr>
            <w:r w:rsidRPr="003175A5">
              <w:rPr>
                <w:rFonts w:ascii="Calibri" w:eastAsia="Times New Roman" w:hAnsi="Calibri" w:cs="Times New Roman"/>
                <w:lang w:eastAsia="nb-NO"/>
              </w:rPr>
              <w:t>53 120</w:t>
            </w:r>
          </w:p>
        </w:tc>
        <w:tc>
          <w:tcPr>
            <w:tcW w:w="100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lang w:eastAsia="nb-NO"/>
              </w:rPr>
            </w:pPr>
            <w:r w:rsidRPr="003175A5">
              <w:rPr>
                <w:rFonts w:ascii="Calibri" w:eastAsia="Times New Roman" w:hAnsi="Calibri" w:cs="Times New Roman"/>
                <w:lang w:eastAsia="nb-NO"/>
              </w:rPr>
              <w:t>58 154</w:t>
            </w:r>
          </w:p>
        </w:tc>
        <w:tc>
          <w:tcPr>
            <w:tcW w:w="960" w:type="dxa"/>
            <w:tcBorders>
              <w:top w:val="nil"/>
              <w:left w:val="nil"/>
              <w:bottom w:val="nil"/>
              <w:right w:val="nil"/>
            </w:tcBorders>
            <w:shd w:val="clear" w:color="000000" w:fill="EBF1DE"/>
            <w:noWrap/>
            <w:vAlign w:val="bottom"/>
            <w:hideMark/>
          </w:tcPr>
          <w:p w:rsidR="003175A5" w:rsidRPr="003175A5" w:rsidRDefault="003175A5" w:rsidP="003175A5">
            <w:pPr>
              <w:spacing w:after="0" w:line="240" w:lineRule="auto"/>
              <w:jc w:val="right"/>
              <w:rPr>
                <w:rFonts w:ascii="Calibri" w:eastAsia="Times New Roman" w:hAnsi="Calibri" w:cs="Times New Roman"/>
                <w:color w:val="000000"/>
                <w:lang w:eastAsia="nb-NO"/>
              </w:rPr>
            </w:pPr>
            <w:r w:rsidRPr="003175A5">
              <w:rPr>
                <w:rFonts w:ascii="Calibri" w:eastAsia="Times New Roman" w:hAnsi="Calibri" w:cs="Times New Roman"/>
                <w:color w:val="000000"/>
                <w:lang w:eastAsia="nb-NO"/>
              </w:rPr>
              <w:t>56 142</w:t>
            </w:r>
          </w:p>
        </w:tc>
      </w:tr>
    </w:tbl>
    <w:p w:rsidR="007F0DC5" w:rsidRPr="006A75AF" w:rsidRDefault="007F0DC5" w:rsidP="006921AF"/>
    <w:p w:rsidR="00F03443" w:rsidRPr="006A75AF" w:rsidRDefault="003175A5" w:rsidP="006921AF">
      <w:r w:rsidRPr="006A75AF">
        <w:t xml:space="preserve">Offentlige refusjoner utgjør også noe av våre basisinntekter. De siste årene har disse refusjonene økt ikke primært på grunn av økt fravær, men fordi UiOs rutiner i bedre grad sikrer at vi får korrekt refusjon for sykefravær og permisjoner. Vi forventer at denne effekten er nådd og holder forventet refusjoner likt gjennom prognoseperioden. </w:t>
      </w:r>
    </w:p>
    <w:p w:rsidR="006921AF" w:rsidRPr="006A75AF" w:rsidRDefault="003A43BD" w:rsidP="003A43BD">
      <w:pPr>
        <w:pStyle w:val="Heading3"/>
      </w:pPr>
      <w:r w:rsidRPr="006A75AF">
        <w:t>Kostnader</w:t>
      </w:r>
    </w:p>
    <w:p w:rsidR="000A02A4" w:rsidRPr="006A75AF" w:rsidRDefault="003A43BD" w:rsidP="003A43BD">
      <w:r w:rsidRPr="006A75AF">
        <w:t xml:space="preserve">I beregningen av personalkostnader er det lagt inn nyrekruttering for å opprettholde måltallene for rekrutteringsstillinger. Det ligger også inne </w:t>
      </w:r>
      <w:r w:rsidR="000A02A4" w:rsidRPr="006A75AF">
        <w:t>planlagte</w:t>
      </w:r>
      <w:r w:rsidRPr="006A75AF">
        <w:t xml:space="preserve"> tilsettingssaker i fast vitenskapelig stilling</w:t>
      </w:r>
      <w:r w:rsidR="000A02A4" w:rsidRPr="006A75AF">
        <w:t>:</w:t>
      </w:r>
    </w:p>
    <w:p w:rsidR="000A02A4" w:rsidRPr="006A75AF" w:rsidRDefault="000A02A4" w:rsidP="000A02A4">
      <w:pPr>
        <w:pStyle w:val="ListParagraph"/>
        <w:numPr>
          <w:ilvl w:val="0"/>
          <w:numId w:val="3"/>
        </w:numPr>
      </w:pPr>
      <w:r w:rsidRPr="006A75AF">
        <w:t xml:space="preserve">tre årsverk i Avdeling for samfunnsmedisin og global helse </w:t>
      </w:r>
    </w:p>
    <w:p w:rsidR="000A02A4" w:rsidRPr="006A75AF" w:rsidRDefault="000A02A4" w:rsidP="000A02A4">
      <w:pPr>
        <w:pStyle w:val="ListParagraph"/>
        <w:numPr>
          <w:ilvl w:val="0"/>
          <w:numId w:val="3"/>
        </w:numPr>
      </w:pPr>
      <w:r w:rsidRPr="006A75AF">
        <w:t>2 årsverk ved Senter for medisinsk etikk (med forutsetning om 50% eksternt frikjøp)</w:t>
      </w:r>
    </w:p>
    <w:p w:rsidR="000A02A4" w:rsidRPr="006A75AF" w:rsidRDefault="000A02A4" w:rsidP="000A02A4">
      <w:pPr>
        <w:pStyle w:val="ListParagraph"/>
        <w:numPr>
          <w:ilvl w:val="0"/>
          <w:numId w:val="3"/>
        </w:numPr>
      </w:pPr>
      <w:r w:rsidRPr="006A75AF">
        <w:t>1,2 årsverk vikarer ved Avdeling for sykepleievitenskap i påvente av ressursbehov etter omlegging av masterporteføljen</w:t>
      </w:r>
    </w:p>
    <w:p w:rsidR="000A02A4" w:rsidRPr="006A75AF" w:rsidRDefault="000A02A4" w:rsidP="000A02A4">
      <w:pPr>
        <w:pStyle w:val="ListParagraph"/>
        <w:numPr>
          <w:ilvl w:val="0"/>
          <w:numId w:val="3"/>
        </w:numPr>
      </w:pPr>
      <w:r w:rsidRPr="006A75AF">
        <w:t>1 årsverk vikar for ekstra eksamensarbeid ved Avdeling for allmennmedisin</w:t>
      </w:r>
      <w:r w:rsidR="003A43BD" w:rsidRPr="006A75AF">
        <w:t xml:space="preserve"> </w:t>
      </w:r>
    </w:p>
    <w:p w:rsidR="006A75AF" w:rsidRPr="006A75AF" w:rsidRDefault="000A02A4" w:rsidP="000A02A4">
      <w:r w:rsidRPr="006A75AF">
        <w:t>I budsjettet ligger det også inn 11</w:t>
      </w:r>
      <w:r w:rsidR="003A43BD" w:rsidRPr="006A75AF">
        <w:t xml:space="preserve"> nye faste vitenskapelige årsverk</w:t>
      </w:r>
      <w:r w:rsidRPr="006A75AF">
        <w:t xml:space="preserve"> som ikke er fordelt ut til noen </w:t>
      </w:r>
      <w:r w:rsidR="006A75AF" w:rsidRPr="006A75AF">
        <w:t>avdeling</w:t>
      </w:r>
      <w:r w:rsidR="003A43BD" w:rsidRPr="006A75AF">
        <w:t xml:space="preserve">. I samme periode er det </w:t>
      </w:r>
      <w:r w:rsidR="006A75AF" w:rsidRPr="006A75AF">
        <w:t xml:space="preserve">forventet </w:t>
      </w:r>
      <w:r w:rsidR="003A43BD" w:rsidRPr="006A75AF">
        <w:t>avgang for pensjon</w:t>
      </w:r>
      <w:r w:rsidR="006A75AF" w:rsidRPr="006A75AF">
        <w:t xml:space="preserve"> ved 70 år</w:t>
      </w:r>
      <w:r w:rsidR="003A43BD" w:rsidRPr="006A75AF">
        <w:t xml:space="preserve"> for </w:t>
      </w:r>
      <w:r w:rsidRPr="006A75AF">
        <w:t>12</w:t>
      </w:r>
      <w:r w:rsidR="003A43BD" w:rsidRPr="006A75AF">
        <w:t xml:space="preserve"> årsverk i faste vitenskapelige stillinger.</w:t>
      </w:r>
    </w:p>
    <w:p w:rsidR="006A75AF" w:rsidRPr="006A75AF" w:rsidRDefault="006A75AF" w:rsidP="000A02A4">
      <w:r w:rsidRPr="006A75AF">
        <w:t>I administrasjonen er det ventet to</w:t>
      </w:r>
      <w:r>
        <w:t xml:space="preserve"> årsverk</w:t>
      </w:r>
      <w:r w:rsidRPr="006A75AF">
        <w:t xml:space="preserve"> pensjonsavganger i perioden. </w:t>
      </w:r>
      <w:r>
        <w:t xml:space="preserve">Den ene av disse er allerede erstattet ved at det er gjort fast tilsetting av ny koordinerende økonom. Dette dekkes delvis av svangerskapspermisjon i 2018, men vil også gi noen måneders midlertidig styrking av kapasiteten. Det andre årsverket er også forventet erstattet. </w:t>
      </w:r>
    </w:p>
    <w:p w:rsidR="003A43BD" w:rsidRPr="006A75AF" w:rsidRDefault="003A43BD" w:rsidP="00E2514A">
      <w:r w:rsidRPr="006A75AF">
        <w:t xml:space="preserve">Reduksjonen i fastlønn </w:t>
      </w:r>
      <w:r w:rsidR="006A75AF">
        <w:t xml:space="preserve">utover </w:t>
      </w:r>
      <w:r w:rsidRPr="006A75AF">
        <w:t>i perioden er i stor grad knyttet til at det i 2018 og delvis 2019 er mange mi</w:t>
      </w:r>
      <w:r w:rsidR="00E2514A" w:rsidRPr="006A75AF">
        <w:t>dlertidige satsninger på basis (</w:t>
      </w:r>
      <w:r w:rsidR="00E2514A" w:rsidRPr="006A75AF">
        <w:t>Scientia Fellows, toppforskprosjekt</w:t>
      </w:r>
      <w:r w:rsidR="00E2514A" w:rsidRPr="006A75AF">
        <w:t xml:space="preserve"> og restartede phd-prosjekter).  </w:t>
      </w:r>
    </w:p>
    <w:p w:rsidR="00E2514A" w:rsidRPr="006A75AF" w:rsidRDefault="00E2514A" w:rsidP="00E2514A">
      <w:r w:rsidRPr="006A75AF">
        <w:t>Driftskostnadene er forventet å holde seg omtrent stabile gjennom perioden.</w:t>
      </w:r>
    </w:p>
    <w:p w:rsidR="00E2514A" w:rsidRPr="006A75AF" w:rsidRDefault="00E2514A" w:rsidP="00E2514A">
      <w:pPr>
        <w:pStyle w:val="Heading2"/>
      </w:pPr>
      <w:r w:rsidRPr="006A75AF">
        <w:t>Koblinger til årsplanen</w:t>
      </w:r>
    </w:p>
    <w:p w:rsidR="00E2514A" w:rsidRDefault="00D31C7C" w:rsidP="00D31C7C">
      <w:r w:rsidRPr="006A75AF">
        <w:t>For årene 2018-20 er det lagt inn frikjøpsvikar for 20% innsats i PHT-satsningen fra  hver avdeling, pluss 50% frikjøp for leder av satsningen.</w:t>
      </w:r>
      <w:r w:rsidRPr="006A75AF">
        <w:t xml:space="preserve"> Fakultetet har innvilget 2 mill i året i 3 år i omstillingsmidler som bygger opp under satsningen. </w:t>
      </w:r>
    </w:p>
    <w:p w:rsidR="00104B7C" w:rsidRPr="006A75AF" w:rsidRDefault="00104B7C" w:rsidP="00D31C7C">
      <w:r>
        <w:t xml:space="preserve">Det er ikke lagt inn egne budsjettposter til de øvrige tiltakene i forslaget til årsplan. </w:t>
      </w:r>
    </w:p>
    <w:p w:rsidR="00D31C7C" w:rsidRPr="006A75AF" w:rsidRDefault="00D31C7C" w:rsidP="00D31C7C"/>
    <w:p w:rsidR="00E2514A" w:rsidRPr="00717535" w:rsidRDefault="00E2514A" w:rsidP="00717535">
      <w:pPr>
        <w:rPr>
          <w:rFonts w:asciiTheme="majorHAnsi" w:eastAsiaTheme="majorEastAsia" w:hAnsiTheme="majorHAnsi" w:cstheme="majorBidi"/>
          <w:b/>
          <w:bCs/>
          <w:color w:val="4F81BD" w:themeColor="accent1"/>
          <w:sz w:val="26"/>
          <w:szCs w:val="26"/>
        </w:rPr>
      </w:pPr>
      <w:r w:rsidRPr="006A75AF">
        <w:t xml:space="preserve"> </w:t>
      </w:r>
    </w:p>
    <w:sectPr w:rsidR="00E2514A" w:rsidRPr="00717535" w:rsidSect="00D31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049"/>
    <w:multiLevelType w:val="hybridMultilevel"/>
    <w:tmpl w:val="FC284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1B4880"/>
    <w:multiLevelType w:val="hybridMultilevel"/>
    <w:tmpl w:val="3BB4F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CD96129"/>
    <w:multiLevelType w:val="hybridMultilevel"/>
    <w:tmpl w:val="57060E3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3D"/>
    <w:rsid w:val="000A02A4"/>
    <w:rsid w:val="000E4384"/>
    <w:rsid w:val="00104B7C"/>
    <w:rsid w:val="0026143D"/>
    <w:rsid w:val="002D534B"/>
    <w:rsid w:val="003175A5"/>
    <w:rsid w:val="003A43BD"/>
    <w:rsid w:val="003D764E"/>
    <w:rsid w:val="0052656D"/>
    <w:rsid w:val="00542F66"/>
    <w:rsid w:val="005C6B37"/>
    <w:rsid w:val="005E5C7F"/>
    <w:rsid w:val="006921AF"/>
    <w:rsid w:val="006A75AF"/>
    <w:rsid w:val="00717535"/>
    <w:rsid w:val="007F0DC5"/>
    <w:rsid w:val="00864A60"/>
    <w:rsid w:val="00A224B8"/>
    <w:rsid w:val="00A268F0"/>
    <w:rsid w:val="00A7062C"/>
    <w:rsid w:val="00BE3FEE"/>
    <w:rsid w:val="00BF6D78"/>
    <w:rsid w:val="00CF4B1E"/>
    <w:rsid w:val="00D31C7C"/>
    <w:rsid w:val="00D3200A"/>
    <w:rsid w:val="00DC0475"/>
    <w:rsid w:val="00E2514A"/>
    <w:rsid w:val="00F03443"/>
    <w:rsid w:val="00F36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5249"/>
  <w15:docId w15:val="{D1AF7468-25A1-404C-8BF3-CA0DF987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4B"/>
  </w:style>
  <w:style w:type="paragraph" w:styleId="Heading1">
    <w:name w:val="heading 1"/>
    <w:basedOn w:val="Normal"/>
    <w:next w:val="Normal"/>
    <w:link w:val="Heading1Char"/>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1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3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2F66"/>
    <w:pPr>
      <w:ind w:left="720"/>
      <w:contextualSpacing/>
    </w:pPr>
  </w:style>
  <w:style w:type="character" w:customStyle="1" w:styleId="Heading3Char">
    <w:name w:val="Heading 3 Char"/>
    <w:basedOn w:val="DefaultParagraphFont"/>
    <w:link w:val="Heading3"/>
    <w:uiPriority w:val="9"/>
    <w:rsid w:val="006921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6300">
      <w:bodyDiv w:val="1"/>
      <w:marLeft w:val="0"/>
      <w:marRight w:val="0"/>
      <w:marTop w:val="0"/>
      <w:marBottom w:val="0"/>
      <w:divBdr>
        <w:top w:val="none" w:sz="0" w:space="0" w:color="auto"/>
        <w:left w:val="none" w:sz="0" w:space="0" w:color="auto"/>
        <w:bottom w:val="none" w:sz="0" w:space="0" w:color="auto"/>
        <w:right w:val="none" w:sz="0" w:space="0" w:color="auto"/>
      </w:divBdr>
    </w:div>
    <w:div w:id="3970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5D9A440B.dotm</Template>
  <TotalTime>137</TotalTime>
  <Pages>2</Pages>
  <Words>789</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Tore Stokke</dc:creator>
  <cp:lastModifiedBy>Knut Tore Stokke</cp:lastModifiedBy>
  <cp:revision>12</cp:revision>
  <dcterms:created xsi:type="dcterms:W3CDTF">2017-11-15T20:40:00Z</dcterms:created>
  <dcterms:modified xsi:type="dcterms:W3CDTF">2017-11-19T20:13:00Z</dcterms:modified>
</cp:coreProperties>
</file>