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B2" w:rsidRPr="00A7630D" w:rsidRDefault="0083790C" w:rsidP="0083790C">
      <w:pPr>
        <w:pStyle w:val="Heading1"/>
        <w:rPr>
          <w:rFonts w:asciiTheme="minorHAnsi" w:hAnsiTheme="minorHAnsi" w:cstheme="minorHAnsi"/>
        </w:rPr>
      </w:pPr>
      <w:r w:rsidRPr="00A7630D">
        <w:rPr>
          <w:rFonts w:asciiTheme="minorHAnsi" w:hAnsiTheme="minorHAnsi" w:cstheme="minorHAnsi"/>
        </w:rPr>
        <w:t>Budsjett 2020 og prognose 2020-24</w:t>
      </w:r>
    </w:p>
    <w:p w:rsidR="0083790C" w:rsidRPr="00A7630D" w:rsidRDefault="0083790C" w:rsidP="0083790C">
      <w:pPr>
        <w:rPr>
          <w:rFonts w:asciiTheme="minorHAnsi" w:hAnsiTheme="minorHAnsi" w:cstheme="minorHAnsi"/>
        </w:rPr>
      </w:pPr>
      <w:r w:rsidRPr="00A7630D">
        <w:rPr>
          <w:rFonts w:asciiTheme="minorHAnsi" w:hAnsiTheme="minorHAnsi" w:cstheme="minorHAnsi"/>
        </w:rPr>
        <w:t>Notat til instituttrådet 11. september 2019</w:t>
      </w:r>
    </w:p>
    <w:p w:rsidR="0083790C" w:rsidRPr="00A7630D" w:rsidRDefault="0083790C" w:rsidP="0083790C">
      <w:pPr>
        <w:pStyle w:val="Heading3"/>
        <w:rPr>
          <w:rFonts w:asciiTheme="minorHAnsi" w:hAnsiTheme="minorHAnsi" w:cstheme="minorHAnsi"/>
        </w:rPr>
      </w:pPr>
      <w:r w:rsidRPr="00A7630D">
        <w:rPr>
          <w:rFonts w:asciiTheme="minorHAnsi" w:hAnsiTheme="minorHAnsi" w:cstheme="minorHAnsi"/>
        </w:rPr>
        <w:t>Bakgrunn</w:t>
      </w:r>
    </w:p>
    <w:p w:rsidR="00B26F70" w:rsidRPr="00A7630D" w:rsidRDefault="00C02615" w:rsidP="00C0261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nb-NO"/>
        </w:rPr>
      </w:pPr>
      <w:r w:rsidRPr="00C02615">
        <w:rPr>
          <w:rFonts w:asciiTheme="minorHAnsi" w:eastAsia="Times New Roman" w:hAnsiTheme="minorHAnsi" w:cstheme="minorHAnsi"/>
          <w:sz w:val="24"/>
          <w:szCs w:val="24"/>
          <w:lang w:eastAsia="nb-NO"/>
        </w:rPr>
        <w:t xml:space="preserve">Helsam leverer budsjett for neste år og prognose for de neste fem årene innen 1. desember hvert år. Budsjettet for basisøkonomien utarbeides etter tildeling fra fakultetet. </w:t>
      </w:r>
      <w:r w:rsidR="00A7630D" w:rsidRPr="00A7630D">
        <w:rPr>
          <w:rFonts w:asciiTheme="minorHAnsi" w:eastAsia="Times New Roman" w:hAnsiTheme="minorHAnsi" w:cstheme="minorHAnsi"/>
          <w:sz w:val="24"/>
          <w:szCs w:val="24"/>
          <w:lang w:eastAsia="nb-NO"/>
        </w:rPr>
        <w:t>Det utarbeides budsjett både for basisøkonomien og for eksternfinansiert virksomhet</w:t>
      </w:r>
      <w:r w:rsidR="00B26F70">
        <w:rPr>
          <w:rFonts w:asciiTheme="minorHAnsi" w:eastAsia="Times New Roman" w:hAnsiTheme="minorHAnsi" w:cstheme="minorHAnsi"/>
          <w:sz w:val="24"/>
          <w:szCs w:val="24"/>
          <w:lang w:eastAsia="nb-NO"/>
        </w:rPr>
        <w:t>. D</w:t>
      </w:r>
      <w:r w:rsidR="00A7630D" w:rsidRPr="00A7630D">
        <w:rPr>
          <w:rFonts w:asciiTheme="minorHAnsi" w:eastAsia="Times New Roman" w:hAnsiTheme="minorHAnsi" w:cstheme="minorHAnsi"/>
          <w:sz w:val="24"/>
          <w:szCs w:val="24"/>
          <w:lang w:eastAsia="nb-NO"/>
        </w:rPr>
        <w:t>en eksternfinansierte virksomhet er primært interessant for å lage prognoser på nettobidraget til basis</w:t>
      </w:r>
      <w:r w:rsidR="00B26F70">
        <w:rPr>
          <w:rFonts w:asciiTheme="minorHAnsi" w:eastAsia="Times New Roman" w:hAnsiTheme="minorHAnsi" w:cstheme="minorHAnsi"/>
          <w:sz w:val="24"/>
          <w:szCs w:val="24"/>
          <w:lang w:eastAsia="nb-NO"/>
        </w:rPr>
        <w:t>økonomien</w:t>
      </w:r>
      <w:r w:rsidR="00A7630D" w:rsidRPr="00A7630D">
        <w:rPr>
          <w:rFonts w:asciiTheme="minorHAnsi" w:eastAsia="Times New Roman" w:hAnsiTheme="minorHAnsi" w:cstheme="minorHAnsi"/>
          <w:sz w:val="24"/>
          <w:szCs w:val="24"/>
          <w:lang w:eastAsia="nb-NO"/>
        </w:rPr>
        <w:t xml:space="preserve">. </w:t>
      </w:r>
    </w:p>
    <w:p w:rsidR="00C02615" w:rsidRPr="00A7630D" w:rsidRDefault="00C02615" w:rsidP="00C0261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nb-NO"/>
        </w:rPr>
      </w:pPr>
    </w:p>
    <w:p w:rsidR="00C02615" w:rsidRPr="00A7630D" w:rsidRDefault="00C02615" w:rsidP="00C02615">
      <w:pPr>
        <w:pStyle w:val="Heading3"/>
        <w:rPr>
          <w:rFonts w:asciiTheme="minorHAnsi" w:eastAsia="Times New Roman" w:hAnsiTheme="minorHAnsi" w:cstheme="minorHAnsi"/>
          <w:lang w:eastAsia="nb-NO"/>
        </w:rPr>
      </w:pPr>
      <w:r w:rsidRPr="00A7630D">
        <w:rPr>
          <w:rFonts w:asciiTheme="minorHAnsi" w:eastAsia="Times New Roman" w:hAnsiTheme="minorHAnsi" w:cstheme="minorHAnsi"/>
          <w:lang w:eastAsia="nb-NO"/>
        </w:rPr>
        <w:t>Tildeling 2020</w:t>
      </w:r>
    </w:p>
    <w:p w:rsidR="0083790C" w:rsidRDefault="00C02615" w:rsidP="00C0261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nb-NO"/>
        </w:rPr>
      </w:pPr>
      <w:r w:rsidRPr="00C02615">
        <w:rPr>
          <w:rFonts w:asciiTheme="minorHAnsi" w:eastAsia="Times New Roman" w:hAnsiTheme="minorHAnsi" w:cstheme="minorHAnsi"/>
          <w:sz w:val="24"/>
          <w:szCs w:val="24"/>
          <w:lang w:eastAsia="nb-NO"/>
        </w:rPr>
        <w:t>Fakultetsstyret skal vedta tildelingen for 2020 den 24. september, men vi forventer ingen vesentlige endringer</w:t>
      </w:r>
      <w:r w:rsidR="00A7630D" w:rsidRPr="00A7630D">
        <w:rPr>
          <w:rFonts w:asciiTheme="minorHAnsi" w:eastAsia="Times New Roman" w:hAnsiTheme="minorHAnsi" w:cstheme="minorHAnsi"/>
          <w:sz w:val="24"/>
          <w:szCs w:val="24"/>
          <w:lang w:eastAsia="nb-NO"/>
        </w:rPr>
        <w:t xml:space="preserve"> fra den foreslåtte fordelingen som er vist her. </w:t>
      </w:r>
    </w:p>
    <w:p w:rsidR="00A7630D" w:rsidRPr="00A7630D" w:rsidRDefault="00A7630D" w:rsidP="00C02615">
      <w:pPr>
        <w:spacing w:after="0" w:line="240" w:lineRule="auto"/>
        <w:rPr>
          <w:rFonts w:asciiTheme="minorHAnsi" w:hAnsiTheme="minorHAnsi" w:cstheme="minorHAnsi"/>
        </w:rPr>
      </w:pPr>
    </w:p>
    <w:tbl>
      <w:tblPr>
        <w:tblpPr w:leftFromText="141" w:rightFromText="141" w:vertAnchor="page" w:horzAnchor="margin" w:tblpXSpec="right" w:tblpY="5881"/>
        <w:tblW w:w="6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1456"/>
        <w:gridCol w:w="1291"/>
        <w:gridCol w:w="1288"/>
      </w:tblGrid>
      <w:tr w:rsidR="00A7630D" w:rsidRPr="00A7630D" w:rsidTr="00A7630D">
        <w:trPr>
          <w:trHeight w:val="1995"/>
        </w:trPr>
        <w:tc>
          <w:tcPr>
            <w:tcW w:w="2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7630D" w:rsidRPr="00A7630D" w:rsidRDefault="00A7630D" w:rsidP="00A76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630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Institutt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7630D" w:rsidRPr="00A7630D" w:rsidRDefault="00A7630D" w:rsidP="00A76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630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2020, tentativ fordeling, styrebehandlet, 11.  juni 2019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7630D" w:rsidRPr="00A7630D" w:rsidRDefault="00A7630D" w:rsidP="00A76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630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2020, august 2019, endelig forslag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7630D" w:rsidRPr="00A7630D" w:rsidRDefault="00A7630D" w:rsidP="00A76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630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Endring</w:t>
            </w:r>
          </w:p>
        </w:tc>
      </w:tr>
      <w:tr w:rsidR="00A7630D" w:rsidRPr="00A7630D" w:rsidTr="00A7630D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30D" w:rsidRPr="00A7630D" w:rsidRDefault="00A7630D" w:rsidP="00A7630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630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IMB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30D" w:rsidRPr="00A7630D" w:rsidRDefault="00A7630D" w:rsidP="00A7630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630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156 277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30D" w:rsidRPr="00A7630D" w:rsidRDefault="00A7630D" w:rsidP="00A7630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630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156 855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30D" w:rsidRPr="00A7630D" w:rsidRDefault="00A7630D" w:rsidP="00A7630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630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578</w:t>
            </w:r>
          </w:p>
        </w:tc>
      </w:tr>
      <w:tr w:rsidR="00A7630D" w:rsidRPr="00A7630D" w:rsidTr="00A7630D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30D" w:rsidRPr="00A7630D" w:rsidRDefault="00A7630D" w:rsidP="00A7630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630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Helsam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30D" w:rsidRPr="00A7630D" w:rsidRDefault="00A7630D" w:rsidP="00A7630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630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94 604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30D" w:rsidRPr="00A7630D" w:rsidRDefault="00A7630D" w:rsidP="00A7630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630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94 741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30D" w:rsidRPr="00A7630D" w:rsidRDefault="00A7630D" w:rsidP="00A7630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630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136</w:t>
            </w:r>
          </w:p>
        </w:tc>
      </w:tr>
      <w:tr w:rsidR="00A7630D" w:rsidRPr="00A7630D" w:rsidTr="00A7630D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30D" w:rsidRPr="00A7630D" w:rsidRDefault="00A7630D" w:rsidP="00A7630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630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Klinmed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30D" w:rsidRPr="00A7630D" w:rsidRDefault="00A7630D" w:rsidP="00A7630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630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240 658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30D" w:rsidRPr="00A7630D" w:rsidRDefault="00A7630D" w:rsidP="00A7630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630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241 590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30D" w:rsidRPr="00A7630D" w:rsidRDefault="00A7630D" w:rsidP="00A7630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630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933</w:t>
            </w:r>
          </w:p>
        </w:tc>
      </w:tr>
      <w:tr w:rsidR="00A7630D" w:rsidRPr="00A7630D" w:rsidTr="00A7630D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30D" w:rsidRPr="00A7630D" w:rsidRDefault="00A7630D" w:rsidP="00A7630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630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NCMM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30D" w:rsidRPr="00A7630D" w:rsidRDefault="00A7630D" w:rsidP="00A7630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630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32 741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30D" w:rsidRPr="00A7630D" w:rsidRDefault="00A7630D" w:rsidP="00A7630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630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32 368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30D" w:rsidRPr="00A7630D" w:rsidRDefault="00A7630D" w:rsidP="00A7630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630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-373</w:t>
            </w:r>
          </w:p>
        </w:tc>
      </w:tr>
      <w:tr w:rsidR="00A7630D" w:rsidRPr="00A7630D" w:rsidTr="00A7630D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30D" w:rsidRPr="00A7630D" w:rsidRDefault="00A7630D" w:rsidP="00A7630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630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Husleie / REK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30D" w:rsidRPr="00A7630D" w:rsidRDefault="00A7630D" w:rsidP="00A7630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630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135 906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30D" w:rsidRPr="00A7630D" w:rsidRDefault="00A7630D" w:rsidP="00A7630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630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135 906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30D" w:rsidRPr="00A7630D" w:rsidRDefault="00A7630D" w:rsidP="00A7630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630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</w:p>
        </w:tc>
      </w:tr>
      <w:tr w:rsidR="00A7630D" w:rsidRPr="00A7630D" w:rsidTr="00A7630D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30D" w:rsidRPr="00A7630D" w:rsidRDefault="00A7630D" w:rsidP="00A7630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630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Vitenskapelig utstyr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30D" w:rsidRPr="00A7630D" w:rsidRDefault="00A7630D" w:rsidP="00A7630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630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8 875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30D" w:rsidRPr="00A7630D" w:rsidRDefault="00A7630D" w:rsidP="00A7630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630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8 875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30D" w:rsidRPr="00A7630D" w:rsidRDefault="00A7630D" w:rsidP="00A7630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630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</w:p>
        </w:tc>
      </w:tr>
      <w:tr w:rsidR="00A7630D" w:rsidRPr="00A7630D" w:rsidTr="00A7630D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30D" w:rsidRPr="00A7630D" w:rsidRDefault="00A7630D" w:rsidP="00A7630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630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Strategi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30D" w:rsidRPr="00A7630D" w:rsidRDefault="00A7630D" w:rsidP="00A7630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630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21 620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30D" w:rsidRPr="00A7630D" w:rsidRDefault="00A7630D" w:rsidP="00A7630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630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22 583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30D" w:rsidRPr="00A7630D" w:rsidRDefault="00A7630D" w:rsidP="00A7630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630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963</w:t>
            </w:r>
          </w:p>
        </w:tc>
      </w:tr>
      <w:tr w:rsidR="00A7630D" w:rsidRPr="00A7630D" w:rsidTr="00A7630D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30D" w:rsidRPr="00A7630D" w:rsidRDefault="00A7630D" w:rsidP="00A7630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630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Ledelse og administrasjon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30D" w:rsidRPr="00A7630D" w:rsidRDefault="00A7630D" w:rsidP="00A7630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630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66 668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30D" w:rsidRPr="00A7630D" w:rsidRDefault="00A7630D" w:rsidP="00A7630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630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65 712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30D" w:rsidRPr="00A7630D" w:rsidRDefault="00A7630D" w:rsidP="00A7630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630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-956</w:t>
            </w:r>
          </w:p>
        </w:tc>
      </w:tr>
      <w:tr w:rsidR="00A7630D" w:rsidRPr="00A7630D" w:rsidTr="00A7630D">
        <w:trPr>
          <w:trHeight w:val="31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7630D" w:rsidRPr="00A7630D" w:rsidRDefault="00A7630D" w:rsidP="00A7630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630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Totalt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7630D" w:rsidRPr="00A7630D" w:rsidRDefault="00A7630D" w:rsidP="00A7630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630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757 349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7630D" w:rsidRPr="00A7630D" w:rsidRDefault="00A7630D" w:rsidP="00A7630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630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758 630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7630D" w:rsidRPr="00A7630D" w:rsidRDefault="00A7630D" w:rsidP="00A7630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7630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1 281</w:t>
            </w:r>
          </w:p>
        </w:tc>
      </w:tr>
    </w:tbl>
    <w:p w:rsidR="00A7630D" w:rsidRPr="00A7630D" w:rsidRDefault="00A7630D" w:rsidP="00A7630D">
      <w:pPr>
        <w:rPr>
          <w:rFonts w:asciiTheme="minorHAnsi" w:hAnsiTheme="minorHAnsi" w:cstheme="minorHAnsi"/>
        </w:rPr>
      </w:pPr>
      <w:r w:rsidRPr="00A7630D">
        <w:rPr>
          <w:rFonts w:asciiTheme="minorHAnsi" w:hAnsiTheme="minorHAnsi" w:cstheme="minorHAnsi"/>
        </w:rPr>
        <w:t>Som det framgår av tabellen vil basisinntektene våre bli stående uendret, noe som innebærer en realnedgang når vi korrigerer for pris- og lønnsvekst. I kombinasjon med en vanskelig økonomisk situasjon for instituttet med et betydelig akkumulert overforbruk</w:t>
      </w:r>
      <w:r w:rsidR="00B26F70">
        <w:rPr>
          <w:rFonts w:asciiTheme="minorHAnsi" w:hAnsiTheme="minorHAnsi" w:cstheme="minorHAnsi"/>
        </w:rPr>
        <w:t xml:space="preserve"> (prognose på ca 12 mill ved utgangen av året)</w:t>
      </w:r>
      <w:r w:rsidRPr="00A7630D">
        <w:rPr>
          <w:rFonts w:asciiTheme="minorHAnsi" w:hAnsiTheme="minorHAnsi" w:cstheme="minorHAnsi"/>
        </w:rPr>
        <w:t xml:space="preserve"> innebærer det at vi får en krevende prosess med utarbeidelse av neste års budsjett. </w:t>
      </w:r>
    </w:p>
    <w:p w:rsidR="00B26F70" w:rsidRDefault="00C02615">
      <w:pPr>
        <w:rPr>
          <w:rFonts w:asciiTheme="minorHAnsi" w:hAnsiTheme="minorHAnsi" w:cstheme="minorHAnsi"/>
        </w:rPr>
      </w:pPr>
      <w:r w:rsidRPr="00A7630D">
        <w:rPr>
          <w:rFonts w:asciiTheme="minorHAnsi" w:hAnsiTheme="minorHAnsi" w:cstheme="minorHAnsi"/>
        </w:rPr>
        <w:t>UiO stiller krav om at vi i den femårige prognosen kan vise at vi klarer å gå i balanse. Dagens prognose viser i grove trekk en forventning om at vi isolert sett går i balanse i 2020 og 2021 (dvs at vi ikke reduserer eller øker det akkumulerte overforbruket)</w:t>
      </w:r>
      <w:r w:rsidR="00A7630D">
        <w:rPr>
          <w:rFonts w:asciiTheme="minorHAnsi" w:hAnsiTheme="minorHAnsi" w:cstheme="minorHAnsi"/>
        </w:rPr>
        <w:t xml:space="preserve">, mens reduksjonen av akkumulert overforbruk først kommer i slutten av langtidsperioden. </w:t>
      </w:r>
      <w:r w:rsidR="00E14C03">
        <w:rPr>
          <w:rFonts w:asciiTheme="minorHAnsi" w:hAnsiTheme="minorHAnsi" w:cstheme="minorHAnsi"/>
        </w:rPr>
        <w:t>Vi tror det vil være viktig å oppnå en reduksjon i overforbruket tidligere i perioden, dels som et signal om at vi har kontroll over den økonomiske situasjonen, men særlig fordi usikkerheten i prognosen øker jo lengre ut i perioden vi kommer. Vi vil derfor gå til høst</w:t>
      </w:r>
      <w:r w:rsidR="002B1593">
        <w:rPr>
          <w:rFonts w:asciiTheme="minorHAnsi" w:hAnsiTheme="minorHAnsi" w:cstheme="minorHAnsi"/>
        </w:rPr>
        <w:t>ens budsjettarbeid med en ambisjon om reduserte kostnader fra 2020 av.</w:t>
      </w:r>
      <w:r w:rsidR="00B26F70">
        <w:rPr>
          <w:rFonts w:asciiTheme="minorHAnsi" w:hAnsiTheme="minorHAnsi" w:cstheme="minorHAnsi"/>
        </w:rPr>
        <w:t xml:space="preserve"> Vi vil forsøke å opprettholde strategien om å lete etter kostnadskutt, men unngå kutt som bidrar til å svekke framtidige inntekter.</w:t>
      </w:r>
    </w:p>
    <w:p w:rsidR="00C02615" w:rsidRPr="00A7630D" w:rsidRDefault="00B26F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 ber om instituttrådets innspill til høstens budsjettarbeid</w:t>
      </w:r>
      <w:r w:rsidR="005D0363">
        <w:rPr>
          <w:rFonts w:asciiTheme="minorHAnsi" w:hAnsiTheme="minorHAnsi" w:cstheme="minorHAnsi"/>
        </w:rPr>
        <w:t xml:space="preserve">. Saken kommer tilbake til instituttrådet med forslag til budsjett i neste møte.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  <w:r w:rsidR="002B1593">
        <w:rPr>
          <w:rFonts w:asciiTheme="minorHAnsi" w:hAnsiTheme="minorHAnsi" w:cstheme="minorHAnsi"/>
        </w:rPr>
        <w:t xml:space="preserve"> </w:t>
      </w:r>
      <w:r w:rsidR="00C02615" w:rsidRPr="00A7630D">
        <w:rPr>
          <w:rFonts w:asciiTheme="minorHAnsi" w:hAnsiTheme="minorHAnsi" w:cstheme="minorHAnsi"/>
        </w:rPr>
        <w:t xml:space="preserve"> </w:t>
      </w:r>
    </w:p>
    <w:sectPr w:rsidR="00C02615" w:rsidRPr="00A76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0C"/>
    <w:rsid w:val="002B1593"/>
    <w:rsid w:val="00470C05"/>
    <w:rsid w:val="005D0363"/>
    <w:rsid w:val="006D0DC3"/>
    <w:rsid w:val="0083790C"/>
    <w:rsid w:val="00A7630D"/>
    <w:rsid w:val="00B26F70"/>
    <w:rsid w:val="00C02615"/>
    <w:rsid w:val="00E1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EF76"/>
  <w15:chartTrackingRefBased/>
  <w15:docId w15:val="{5DC2A695-CB0E-4CC5-8F2E-FB2CECF0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90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9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9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9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79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79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Tore Stokke</dc:creator>
  <cp:keywords/>
  <dc:description/>
  <cp:lastModifiedBy>Knut Tore Stokke</cp:lastModifiedBy>
  <cp:revision>5</cp:revision>
  <dcterms:created xsi:type="dcterms:W3CDTF">2019-09-04T06:22:00Z</dcterms:created>
  <dcterms:modified xsi:type="dcterms:W3CDTF">2019-09-04T09:09:00Z</dcterms:modified>
</cp:coreProperties>
</file>