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EABE" w14:textId="77777777" w:rsidR="00BE3FEE" w:rsidRDefault="001B3598" w:rsidP="00BE3FEE">
      <w:pPr>
        <w:pStyle w:val="Heading1"/>
      </w:pPr>
      <w:bookmarkStart w:id="0" w:name="_GoBack"/>
      <w:bookmarkEnd w:id="0"/>
      <w:r>
        <w:t>Budsjett 2020 og prognose 2021-24</w:t>
      </w:r>
    </w:p>
    <w:p w14:paraId="085C59F6" w14:textId="77777777" w:rsidR="00A268F0" w:rsidRDefault="00BE3FEE" w:rsidP="00BE3FEE">
      <w:pPr>
        <w:pStyle w:val="Heading2"/>
      </w:pPr>
      <w:r>
        <w:t xml:space="preserve">Notat til </w:t>
      </w:r>
      <w:r w:rsidR="001B3598">
        <w:t>instituttrådsmøtet 26. november 2019</w:t>
      </w:r>
    </w:p>
    <w:p w14:paraId="59F3EB29" w14:textId="77777777" w:rsidR="00BE3FEE" w:rsidRDefault="005E5C7F" w:rsidP="00AD248C">
      <w:r>
        <w:t xml:space="preserve">Fra: </w:t>
      </w:r>
      <w:r w:rsidR="001B3598">
        <w:t>Terje P. Hagen og Knut Tore Stokke</w:t>
      </w:r>
    </w:p>
    <w:p w14:paraId="7D9177F4" w14:textId="77777777" w:rsidR="001B3598" w:rsidRDefault="001B3598" w:rsidP="001B3598">
      <w:pPr>
        <w:pStyle w:val="Heading2"/>
      </w:pPr>
      <w:r>
        <w:t>Bakgrunn</w:t>
      </w:r>
    </w:p>
    <w:p w14:paraId="50B3D9B4" w14:textId="77777777" w:rsidR="001B3598" w:rsidRDefault="001B3598" w:rsidP="001B3598">
      <w:r>
        <w:t>Instituttrådet har behandlet saken i tre tidligere møter i høst, primært som følge av instituttets vanskelige økonomiske situasjon. Vi legger her fram forslag til budsjett for 2020 og prognose videre til 2024. Graden av usikkerhet knyttet til både inntekts- og kostnadssiden øker jo lengre ut i prognoseperioden vi kommer.</w:t>
      </w:r>
      <w:r w:rsidR="00624914">
        <w:t xml:space="preserve"> Handlingsrommet for styring av økonomien øker også etter hvert som vi beveger oss utover i prognoseperioden fordi de fleste aktuelle tiltak for innsparinger eller økning av inntekter vil ta noe tid å implementere. Med bakgrunn i dette legger vi opp til en delt diskusjon av saken hvor vi først diskuterer budsjettet for 2020 og deretter diskuterer langtidsprognosen.  </w:t>
      </w:r>
      <w:r>
        <w:t xml:space="preserve"> </w:t>
      </w:r>
    </w:p>
    <w:p w14:paraId="1EB3B738" w14:textId="77777777" w:rsidR="001B3598" w:rsidRDefault="001B3598" w:rsidP="001B3598">
      <w:r>
        <w:t xml:space="preserve">Det er etter instituttledelsens vurdering ikke mulig å levere en prognose som gjør at basisøkonomien kommer i balanse innen utgangen av 2024. </w:t>
      </w:r>
    </w:p>
    <w:p w14:paraId="6F88973D" w14:textId="77777777" w:rsidR="001B3598" w:rsidRDefault="00624914" w:rsidP="00624914">
      <w:pPr>
        <w:pStyle w:val="Heading2"/>
      </w:pPr>
      <w:r>
        <w:t>Budsjett 2020</w:t>
      </w:r>
    </w:p>
    <w:p w14:paraId="661EEC54" w14:textId="77777777" w:rsidR="00AE6776" w:rsidRDefault="00AE6776" w:rsidP="00AE6776">
      <w:pPr>
        <w:pStyle w:val="Heading3"/>
      </w:pPr>
      <w:r>
        <w:t>Inntekter</w:t>
      </w:r>
    </w:p>
    <w:p w14:paraId="4B5D4561" w14:textId="77777777" w:rsidR="00624914" w:rsidRDefault="00624914" w:rsidP="00624914">
      <w:r>
        <w:t xml:space="preserve">Inntektssiden av budsjettet er gitt gjennom </w:t>
      </w:r>
      <w:hyperlink r:id="rId7" w:history="1">
        <w:r w:rsidRPr="00AE6776">
          <w:rPr>
            <w:rStyle w:val="Hyperlink"/>
          </w:rPr>
          <w:t>fakultetets tildelingsbrev</w:t>
        </w:r>
      </w:hyperlink>
      <w:r w:rsidR="00AE6776">
        <w:t xml:space="preserve">. I tillegg til tildelingen fra fakultetet er det budsjettert med noen andre mindre øremerkede inntekter knyttet til tildelinger som går utenom den ordinære fordelingsmodellen. Det gjelder for eksempel tildeling til to konvergensmiljø-prosjekter innenfor Livsvitenskapssatsningen og en mindre inntekt for etikkundervisning gjennomført på Odontologi. Samlede inntekter for basis økonomien for 2020 blir da drøyt 98 mill.  </w:t>
      </w:r>
    </w:p>
    <w:p w14:paraId="543B8589" w14:textId="77777777" w:rsidR="00D620BD" w:rsidRDefault="004A4809" w:rsidP="004A4809">
      <w:pPr>
        <w:pStyle w:val="Heading3"/>
      </w:pPr>
      <w:r>
        <w:t>Personalkostnader</w:t>
      </w:r>
      <w:r w:rsidR="00D620BD">
        <w:fldChar w:fldCharType="begin"/>
      </w:r>
      <w:r w:rsidR="00D620BD">
        <w:instrText xml:space="preserve"> LINK Excel.SheetMacroEnabled.12 "\\\\kant\\sa-oepa-oko-rapp\\13-med\\Buddy\\Gjeldende budsjett\\BUDDY_2.3_IHS_gjeldende.xlsm" "Analyse!R24C3:R29C5" \a \f 4 \h  \* MERGEFORMAT </w:instrText>
      </w:r>
      <w:r w:rsidR="00D620BD">
        <w:fldChar w:fldCharType="separate"/>
      </w:r>
    </w:p>
    <w:tbl>
      <w:tblPr>
        <w:tblW w:w="7032" w:type="dxa"/>
        <w:tblCellMar>
          <w:left w:w="70" w:type="dxa"/>
          <w:right w:w="70" w:type="dxa"/>
        </w:tblCellMar>
        <w:tblLook w:val="04A0" w:firstRow="1" w:lastRow="0" w:firstColumn="1" w:lastColumn="0" w:noHBand="0" w:noVBand="1"/>
      </w:tblPr>
      <w:tblGrid>
        <w:gridCol w:w="2726"/>
        <w:gridCol w:w="2913"/>
        <w:gridCol w:w="1393"/>
      </w:tblGrid>
      <w:tr w:rsidR="004A4809" w:rsidRPr="00D620BD" w14:paraId="45762400" w14:textId="77777777" w:rsidTr="000E491C">
        <w:trPr>
          <w:trHeight w:val="234"/>
        </w:trPr>
        <w:tc>
          <w:tcPr>
            <w:tcW w:w="2726" w:type="dxa"/>
            <w:tcBorders>
              <w:top w:val="single" w:sz="4" w:space="0" w:color="D9D9D9"/>
              <w:left w:val="nil"/>
              <w:bottom w:val="single" w:sz="4" w:space="0" w:color="D9D9D9"/>
              <w:right w:val="nil"/>
            </w:tcBorders>
            <w:shd w:val="clear" w:color="D9D9D9" w:fill="D9D9D9"/>
            <w:noWrap/>
            <w:vAlign w:val="bottom"/>
            <w:hideMark/>
          </w:tcPr>
          <w:p w14:paraId="0A7EB6CF" w14:textId="77777777" w:rsidR="00D620BD" w:rsidRPr="00D620BD" w:rsidRDefault="00D620BD" w:rsidP="004A4809">
            <w:pPr>
              <w:pStyle w:val="Heading3"/>
              <w:rPr>
                <w:rFonts w:ascii="Calibri" w:eastAsia="Times New Roman" w:hAnsi="Calibri" w:cs="Calibri"/>
                <w:b/>
                <w:bCs/>
                <w:color w:val="000000"/>
                <w:lang w:eastAsia="nb-NO"/>
              </w:rPr>
            </w:pPr>
            <w:r w:rsidRPr="00D620BD">
              <w:rPr>
                <w:rFonts w:ascii="Calibri" w:eastAsia="Times New Roman" w:hAnsi="Calibri" w:cs="Calibri"/>
                <w:b/>
                <w:bCs/>
                <w:color w:val="000000"/>
                <w:lang w:eastAsia="nb-NO"/>
              </w:rPr>
              <w:t>Personalkostnader</w:t>
            </w:r>
          </w:p>
        </w:tc>
        <w:tc>
          <w:tcPr>
            <w:tcW w:w="2913" w:type="dxa"/>
            <w:tcBorders>
              <w:top w:val="single" w:sz="4" w:space="0" w:color="D9D9D9"/>
              <w:left w:val="nil"/>
              <w:bottom w:val="single" w:sz="4" w:space="0" w:color="D9D9D9"/>
              <w:right w:val="single" w:sz="4" w:space="0" w:color="808080"/>
            </w:tcBorders>
            <w:shd w:val="clear" w:color="auto" w:fill="auto"/>
            <w:noWrap/>
            <w:vAlign w:val="bottom"/>
            <w:hideMark/>
          </w:tcPr>
          <w:p w14:paraId="3A37D51A"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Fast lønn</w:t>
            </w:r>
          </w:p>
        </w:tc>
        <w:tc>
          <w:tcPr>
            <w:tcW w:w="1393" w:type="dxa"/>
            <w:tcBorders>
              <w:top w:val="single" w:sz="4" w:space="0" w:color="D9D9D9"/>
              <w:left w:val="nil"/>
              <w:bottom w:val="single" w:sz="4" w:space="0" w:color="D9D9D9"/>
              <w:right w:val="nil"/>
            </w:tcBorders>
            <w:shd w:val="clear" w:color="auto" w:fill="auto"/>
            <w:noWrap/>
            <w:vAlign w:val="bottom"/>
            <w:hideMark/>
          </w:tcPr>
          <w:p w14:paraId="0AF71F3D"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85 282 647</w:t>
            </w:r>
          </w:p>
        </w:tc>
      </w:tr>
      <w:tr w:rsidR="000E491C" w:rsidRPr="00D620BD" w14:paraId="04E0CBFA" w14:textId="77777777" w:rsidTr="000E491C">
        <w:trPr>
          <w:trHeight w:val="234"/>
        </w:trPr>
        <w:tc>
          <w:tcPr>
            <w:tcW w:w="2726" w:type="dxa"/>
            <w:tcBorders>
              <w:top w:val="single" w:sz="4" w:space="0" w:color="D9D9D9"/>
              <w:left w:val="nil"/>
              <w:bottom w:val="single" w:sz="4" w:space="0" w:color="D9D9D9"/>
              <w:right w:val="nil"/>
            </w:tcBorders>
            <w:shd w:val="clear" w:color="D9D9D9" w:fill="D9D9D9"/>
            <w:noWrap/>
            <w:vAlign w:val="bottom"/>
            <w:hideMark/>
          </w:tcPr>
          <w:p w14:paraId="605000B8" w14:textId="77777777" w:rsidR="00D620BD" w:rsidRPr="00D620BD" w:rsidRDefault="00D620BD" w:rsidP="004A4809">
            <w:pPr>
              <w:pStyle w:val="Heading3"/>
              <w:rPr>
                <w:rFonts w:ascii="Calibri" w:eastAsia="Times New Roman" w:hAnsi="Calibri" w:cs="Calibri"/>
                <w:color w:val="000000"/>
                <w:lang w:eastAsia="nb-NO"/>
              </w:rPr>
            </w:pPr>
          </w:p>
        </w:tc>
        <w:tc>
          <w:tcPr>
            <w:tcW w:w="2913" w:type="dxa"/>
            <w:tcBorders>
              <w:top w:val="single" w:sz="4" w:space="0" w:color="D9D9D9"/>
              <w:left w:val="nil"/>
              <w:bottom w:val="single" w:sz="4" w:space="0" w:color="D9D9D9"/>
              <w:right w:val="single" w:sz="4" w:space="0" w:color="808080"/>
            </w:tcBorders>
            <w:shd w:val="clear" w:color="auto" w:fill="auto"/>
            <w:noWrap/>
            <w:vAlign w:val="bottom"/>
            <w:hideMark/>
          </w:tcPr>
          <w:p w14:paraId="7838822F"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Timelønn og honorarer</w:t>
            </w:r>
          </w:p>
        </w:tc>
        <w:tc>
          <w:tcPr>
            <w:tcW w:w="1393" w:type="dxa"/>
            <w:tcBorders>
              <w:top w:val="single" w:sz="4" w:space="0" w:color="D9D9D9"/>
              <w:left w:val="nil"/>
              <w:bottom w:val="single" w:sz="4" w:space="0" w:color="D9D9D9"/>
              <w:right w:val="nil"/>
            </w:tcBorders>
            <w:shd w:val="clear" w:color="auto" w:fill="auto"/>
            <w:noWrap/>
            <w:vAlign w:val="bottom"/>
            <w:hideMark/>
          </w:tcPr>
          <w:p w14:paraId="2AE74222"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2 942 771</w:t>
            </w:r>
          </w:p>
        </w:tc>
      </w:tr>
      <w:tr w:rsidR="000E491C" w:rsidRPr="00D620BD" w14:paraId="2F731909" w14:textId="77777777" w:rsidTr="000E491C">
        <w:trPr>
          <w:trHeight w:val="234"/>
        </w:trPr>
        <w:tc>
          <w:tcPr>
            <w:tcW w:w="2726" w:type="dxa"/>
            <w:tcBorders>
              <w:top w:val="single" w:sz="4" w:space="0" w:color="D9D9D9"/>
              <w:left w:val="nil"/>
              <w:bottom w:val="single" w:sz="4" w:space="0" w:color="D9D9D9"/>
              <w:right w:val="nil"/>
            </w:tcBorders>
            <w:shd w:val="clear" w:color="D9D9D9" w:fill="D9D9D9"/>
            <w:noWrap/>
            <w:vAlign w:val="bottom"/>
            <w:hideMark/>
          </w:tcPr>
          <w:p w14:paraId="3EFDDD15" w14:textId="77777777" w:rsidR="00D620BD" w:rsidRPr="00D620BD" w:rsidRDefault="00D620BD" w:rsidP="004A4809">
            <w:pPr>
              <w:pStyle w:val="Heading3"/>
              <w:rPr>
                <w:rFonts w:ascii="Calibri" w:eastAsia="Times New Roman" w:hAnsi="Calibri" w:cs="Calibri"/>
                <w:color w:val="000000"/>
                <w:lang w:eastAsia="nb-NO"/>
              </w:rPr>
            </w:pPr>
          </w:p>
        </w:tc>
        <w:tc>
          <w:tcPr>
            <w:tcW w:w="2913" w:type="dxa"/>
            <w:tcBorders>
              <w:top w:val="single" w:sz="4" w:space="0" w:color="D9D9D9"/>
              <w:left w:val="nil"/>
              <w:bottom w:val="single" w:sz="4" w:space="0" w:color="D9D9D9"/>
              <w:right w:val="single" w:sz="4" w:space="0" w:color="808080"/>
            </w:tcBorders>
            <w:shd w:val="clear" w:color="auto" w:fill="auto"/>
            <w:noWrap/>
            <w:vAlign w:val="bottom"/>
            <w:hideMark/>
          </w:tcPr>
          <w:p w14:paraId="2C174F5D"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Feriepenger, AGA og pensjon</w:t>
            </w:r>
          </w:p>
        </w:tc>
        <w:tc>
          <w:tcPr>
            <w:tcW w:w="1393" w:type="dxa"/>
            <w:tcBorders>
              <w:top w:val="single" w:sz="4" w:space="0" w:color="D9D9D9"/>
              <w:left w:val="nil"/>
              <w:bottom w:val="single" w:sz="4" w:space="0" w:color="D9D9D9"/>
              <w:right w:val="nil"/>
            </w:tcBorders>
            <w:shd w:val="clear" w:color="auto" w:fill="auto"/>
            <w:noWrap/>
            <w:vAlign w:val="bottom"/>
            <w:hideMark/>
          </w:tcPr>
          <w:p w14:paraId="154C695F"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37 845 142</w:t>
            </w:r>
          </w:p>
        </w:tc>
      </w:tr>
      <w:tr w:rsidR="000E491C" w:rsidRPr="00D620BD" w14:paraId="66CA8A0B" w14:textId="77777777" w:rsidTr="000E491C">
        <w:trPr>
          <w:trHeight w:val="234"/>
        </w:trPr>
        <w:tc>
          <w:tcPr>
            <w:tcW w:w="2726" w:type="dxa"/>
            <w:tcBorders>
              <w:top w:val="single" w:sz="4" w:space="0" w:color="D9D9D9"/>
              <w:left w:val="nil"/>
              <w:bottom w:val="single" w:sz="4" w:space="0" w:color="D9D9D9"/>
              <w:right w:val="nil"/>
            </w:tcBorders>
            <w:shd w:val="clear" w:color="D9D9D9" w:fill="D9D9D9"/>
            <w:noWrap/>
            <w:vAlign w:val="bottom"/>
            <w:hideMark/>
          </w:tcPr>
          <w:p w14:paraId="6D943899" w14:textId="77777777" w:rsidR="00D620BD" w:rsidRPr="00D620BD" w:rsidRDefault="00D620BD" w:rsidP="004A4809">
            <w:pPr>
              <w:pStyle w:val="Heading3"/>
              <w:rPr>
                <w:rFonts w:ascii="Calibri" w:eastAsia="Times New Roman" w:hAnsi="Calibri" w:cs="Calibri"/>
                <w:color w:val="000000"/>
                <w:lang w:eastAsia="nb-NO"/>
              </w:rPr>
            </w:pPr>
          </w:p>
        </w:tc>
        <w:tc>
          <w:tcPr>
            <w:tcW w:w="2913" w:type="dxa"/>
            <w:tcBorders>
              <w:top w:val="single" w:sz="4" w:space="0" w:color="D9D9D9"/>
              <w:left w:val="nil"/>
              <w:bottom w:val="single" w:sz="4" w:space="0" w:color="D9D9D9"/>
              <w:right w:val="single" w:sz="4" w:space="0" w:color="808080"/>
            </w:tcBorders>
            <w:shd w:val="clear" w:color="auto" w:fill="auto"/>
            <w:noWrap/>
            <w:vAlign w:val="bottom"/>
            <w:hideMark/>
          </w:tcPr>
          <w:p w14:paraId="6A4C269D"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Offentlige refusjoner</w:t>
            </w:r>
          </w:p>
        </w:tc>
        <w:tc>
          <w:tcPr>
            <w:tcW w:w="1393" w:type="dxa"/>
            <w:tcBorders>
              <w:top w:val="single" w:sz="4" w:space="0" w:color="D9D9D9"/>
              <w:left w:val="nil"/>
              <w:bottom w:val="single" w:sz="4" w:space="0" w:color="D9D9D9"/>
              <w:right w:val="nil"/>
            </w:tcBorders>
            <w:shd w:val="clear" w:color="auto" w:fill="auto"/>
            <w:noWrap/>
            <w:vAlign w:val="bottom"/>
            <w:hideMark/>
          </w:tcPr>
          <w:p w14:paraId="06723792"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-3 290 000</w:t>
            </w:r>
          </w:p>
        </w:tc>
      </w:tr>
      <w:tr w:rsidR="000E491C" w:rsidRPr="00D620BD" w14:paraId="3A144288" w14:textId="77777777" w:rsidTr="000E491C">
        <w:trPr>
          <w:trHeight w:val="234"/>
        </w:trPr>
        <w:tc>
          <w:tcPr>
            <w:tcW w:w="2726" w:type="dxa"/>
            <w:tcBorders>
              <w:top w:val="single" w:sz="4" w:space="0" w:color="D9D9D9"/>
              <w:left w:val="nil"/>
              <w:bottom w:val="single" w:sz="4" w:space="0" w:color="FFFFFF"/>
              <w:right w:val="nil"/>
            </w:tcBorders>
            <w:shd w:val="clear" w:color="D9D9D9" w:fill="D9D9D9"/>
            <w:noWrap/>
            <w:vAlign w:val="bottom"/>
            <w:hideMark/>
          </w:tcPr>
          <w:p w14:paraId="031EB612" w14:textId="77777777" w:rsidR="00D620BD" w:rsidRPr="00D620BD" w:rsidRDefault="00D620BD" w:rsidP="004A4809">
            <w:pPr>
              <w:pStyle w:val="Heading3"/>
              <w:rPr>
                <w:rFonts w:ascii="Calibri" w:eastAsia="Times New Roman" w:hAnsi="Calibri" w:cs="Calibri"/>
                <w:color w:val="000000"/>
                <w:lang w:eastAsia="nb-NO"/>
              </w:rPr>
            </w:pPr>
          </w:p>
        </w:tc>
        <w:tc>
          <w:tcPr>
            <w:tcW w:w="2913" w:type="dxa"/>
            <w:tcBorders>
              <w:top w:val="single" w:sz="4" w:space="0" w:color="D9D9D9"/>
              <w:left w:val="nil"/>
              <w:bottom w:val="single" w:sz="4" w:space="0" w:color="D9D9D9"/>
              <w:right w:val="single" w:sz="4" w:space="0" w:color="808080"/>
            </w:tcBorders>
            <w:shd w:val="clear" w:color="auto" w:fill="auto"/>
            <w:noWrap/>
            <w:vAlign w:val="bottom"/>
            <w:hideMark/>
          </w:tcPr>
          <w:p w14:paraId="4C3B7D7F"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Andre personalkostnader</w:t>
            </w:r>
          </w:p>
        </w:tc>
        <w:tc>
          <w:tcPr>
            <w:tcW w:w="1393" w:type="dxa"/>
            <w:tcBorders>
              <w:top w:val="single" w:sz="4" w:space="0" w:color="D9D9D9"/>
              <w:left w:val="nil"/>
              <w:bottom w:val="single" w:sz="4" w:space="0" w:color="D9D9D9"/>
              <w:right w:val="nil"/>
            </w:tcBorders>
            <w:shd w:val="clear" w:color="auto" w:fill="auto"/>
            <w:noWrap/>
            <w:vAlign w:val="bottom"/>
            <w:hideMark/>
          </w:tcPr>
          <w:p w14:paraId="214A4A61" w14:textId="77777777" w:rsidR="00D620BD" w:rsidRPr="00D620BD" w:rsidRDefault="00D620BD" w:rsidP="004A4809">
            <w:pPr>
              <w:pStyle w:val="Heading3"/>
              <w:rPr>
                <w:rFonts w:ascii="Calibri" w:eastAsia="Times New Roman" w:hAnsi="Calibri" w:cs="Calibri"/>
                <w:color w:val="000000"/>
                <w:lang w:eastAsia="nb-NO"/>
              </w:rPr>
            </w:pPr>
            <w:r w:rsidRPr="00D620BD">
              <w:rPr>
                <w:rFonts w:ascii="Calibri" w:eastAsia="Times New Roman" w:hAnsi="Calibri" w:cs="Calibri"/>
                <w:color w:val="000000"/>
                <w:lang w:eastAsia="nb-NO"/>
              </w:rPr>
              <w:t>-1 242 417</w:t>
            </w:r>
          </w:p>
        </w:tc>
      </w:tr>
      <w:tr w:rsidR="004A4809" w:rsidRPr="00D620BD" w14:paraId="5DCF257B" w14:textId="77777777" w:rsidTr="000E491C">
        <w:trPr>
          <w:trHeight w:val="234"/>
        </w:trPr>
        <w:tc>
          <w:tcPr>
            <w:tcW w:w="2726" w:type="dxa"/>
            <w:tcBorders>
              <w:top w:val="single" w:sz="4" w:space="0" w:color="A6A6A6"/>
              <w:left w:val="nil"/>
              <w:bottom w:val="single" w:sz="4" w:space="0" w:color="A6A6A6"/>
              <w:right w:val="nil"/>
            </w:tcBorders>
            <w:shd w:val="clear" w:color="D9D9D9" w:fill="D9D9D9"/>
            <w:noWrap/>
            <w:vAlign w:val="bottom"/>
            <w:hideMark/>
          </w:tcPr>
          <w:p w14:paraId="36492656" w14:textId="77777777" w:rsidR="00D620BD" w:rsidRPr="00D620BD" w:rsidRDefault="00D620BD" w:rsidP="004A4809">
            <w:pPr>
              <w:pStyle w:val="Heading3"/>
              <w:rPr>
                <w:rFonts w:ascii="Calibri" w:eastAsia="Times New Roman" w:hAnsi="Calibri" w:cs="Calibri"/>
                <w:b/>
                <w:bCs/>
                <w:color w:val="000000"/>
                <w:lang w:eastAsia="nb-NO"/>
              </w:rPr>
            </w:pPr>
            <w:r w:rsidRPr="00D620BD">
              <w:rPr>
                <w:rFonts w:ascii="Calibri" w:eastAsia="Times New Roman" w:hAnsi="Calibri" w:cs="Calibri"/>
                <w:b/>
                <w:bCs/>
                <w:color w:val="000000"/>
                <w:lang w:eastAsia="nb-NO"/>
              </w:rPr>
              <w:t>Personalkostnader Total</w:t>
            </w:r>
          </w:p>
        </w:tc>
        <w:tc>
          <w:tcPr>
            <w:tcW w:w="2913" w:type="dxa"/>
            <w:tcBorders>
              <w:top w:val="single" w:sz="4" w:space="0" w:color="A6A6A6"/>
              <w:left w:val="nil"/>
              <w:bottom w:val="single" w:sz="4" w:space="0" w:color="A6A6A6"/>
              <w:right w:val="single" w:sz="4" w:space="0" w:color="808080"/>
            </w:tcBorders>
            <w:shd w:val="clear" w:color="D9D9D9" w:fill="D9D9D9"/>
            <w:noWrap/>
            <w:vAlign w:val="bottom"/>
            <w:hideMark/>
          </w:tcPr>
          <w:p w14:paraId="2F507D4C" w14:textId="77777777" w:rsidR="00D620BD" w:rsidRPr="00D620BD" w:rsidRDefault="00D620BD" w:rsidP="004A4809">
            <w:pPr>
              <w:pStyle w:val="Heading3"/>
              <w:rPr>
                <w:rFonts w:ascii="Calibri" w:eastAsia="Times New Roman" w:hAnsi="Calibri" w:cs="Calibri"/>
                <w:b/>
                <w:bCs/>
                <w:color w:val="000000"/>
                <w:lang w:eastAsia="nb-NO"/>
              </w:rPr>
            </w:pPr>
          </w:p>
        </w:tc>
        <w:tc>
          <w:tcPr>
            <w:tcW w:w="1393" w:type="dxa"/>
            <w:tcBorders>
              <w:top w:val="single" w:sz="4" w:space="0" w:color="A6A6A6"/>
              <w:left w:val="nil"/>
              <w:bottom w:val="single" w:sz="4" w:space="0" w:color="A6A6A6"/>
              <w:right w:val="nil"/>
            </w:tcBorders>
            <w:shd w:val="clear" w:color="D9D9D9" w:fill="D9D9D9"/>
            <w:noWrap/>
            <w:vAlign w:val="bottom"/>
            <w:hideMark/>
          </w:tcPr>
          <w:p w14:paraId="3DE38E19" w14:textId="77777777" w:rsidR="00D620BD" w:rsidRPr="00D620BD" w:rsidRDefault="00D620BD" w:rsidP="004A4809">
            <w:pPr>
              <w:pStyle w:val="Heading3"/>
              <w:rPr>
                <w:rFonts w:ascii="Calibri" w:eastAsia="Times New Roman" w:hAnsi="Calibri" w:cs="Calibri"/>
                <w:b/>
                <w:bCs/>
                <w:color w:val="000000"/>
                <w:lang w:eastAsia="nb-NO"/>
              </w:rPr>
            </w:pPr>
            <w:r w:rsidRPr="00D620BD">
              <w:rPr>
                <w:rFonts w:ascii="Calibri" w:eastAsia="Times New Roman" w:hAnsi="Calibri" w:cs="Calibri"/>
                <w:b/>
                <w:bCs/>
                <w:color w:val="000000"/>
                <w:lang w:eastAsia="nb-NO"/>
              </w:rPr>
              <w:t>121 538 143</w:t>
            </w:r>
          </w:p>
        </w:tc>
      </w:tr>
    </w:tbl>
    <w:p w14:paraId="6EDDB5B3" w14:textId="77777777" w:rsidR="00D620BD" w:rsidRDefault="00D620BD" w:rsidP="004A4809">
      <w:pPr>
        <w:pStyle w:val="Heading3"/>
      </w:pPr>
      <w:r>
        <w:fldChar w:fldCharType="end"/>
      </w:r>
    </w:p>
    <w:p w14:paraId="4A9081F2" w14:textId="504D2492" w:rsidR="00D620BD" w:rsidRDefault="00624914" w:rsidP="00624914">
      <w:r>
        <w:t xml:space="preserve">Personalkostnader utgjør </w:t>
      </w:r>
      <w:proofErr w:type="spellStart"/>
      <w:r>
        <w:t>ca</w:t>
      </w:r>
      <w:proofErr w:type="spellEnd"/>
      <w:r>
        <w:t xml:space="preserve"> 90% av kostnadene våre</w:t>
      </w:r>
      <w:r w:rsidR="00D620BD">
        <w:t xml:space="preserve"> hvorav hovedtyngden er fast lønn</w:t>
      </w:r>
      <w:r>
        <w:t xml:space="preserve">. </w:t>
      </w:r>
      <w:r w:rsidR="00D620BD">
        <w:t xml:space="preserve">Feriepenger, arbeidsgiveravgift og pensjon kommer som et gitt påslag til fast lønn og timelønn. Offentlige refusjoner er primært knyttet til foreldrepermisjoner og sykemeldinger. I kategorien </w:t>
      </w:r>
      <w:r w:rsidR="000B2D76">
        <w:t>‘A</w:t>
      </w:r>
      <w:r w:rsidR="00D620BD">
        <w:t>ndre personalkostnader</w:t>
      </w:r>
      <w:r w:rsidR="000B2D76">
        <w:t>’</w:t>
      </w:r>
      <w:r w:rsidR="00D620BD">
        <w:t xml:space="preserve"> får vi for 2020 en innsparing (negativ kostnad) hovedsakelig knyttet til at fakultetet dekker lønnskostnaden til tidligere studiedekan mens hun er i forskningstermin. </w:t>
      </w:r>
    </w:p>
    <w:p w14:paraId="24D60CBD" w14:textId="77777777" w:rsidR="000E491C" w:rsidRDefault="00624914" w:rsidP="00624914">
      <w:r>
        <w:lastRenderedPageBreak/>
        <w:t xml:space="preserve">Av de budsjetterte kostnadene </w:t>
      </w:r>
      <w:r w:rsidR="00D620BD">
        <w:t xml:space="preserve">til fastlønn </w:t>
      </w:r>
      <w:r>
        <w:t xml:space="preserve">for 2020 så er </w:t>
      </w:r>
      <w:r w:rsidR="000E491C">
        <w:t>85</w:t>
      </w:r>
      <w:r>
        <w:t xml:space="preserve">% allerede disponert gjennom </w:t>
      </w:r>
      <w:r w:rsidR="000E491C">
        <w:t xml:space="preserve">tilsetting i faste stillinger. Vi viser for øvrig til oversikten over pågående tilsettinger som ble presentert i møtet 19. november. </w:t>
      </w:r>
    </w:p>
    <w:p w14:paraId="42B370BF" w14:textId="3A80C7FC" w:rsidR="00F76E45" w:rsidRDefault="00D52EB4" w:rsidP="000E491C">
      <w:r>
        <w:t xml:space="preserve">Timelønn og honorar kan brytes ned i kostnader knyttet til bedømmelse av </w:t>
      </w:r>
      <w:proofErr w:type="spellStart"/>
      <w:r>
        <w:t>phd</w:t>
      </w:r>
      <w:proofErr w:type="spellEnd"/>
      <w:r>
        <w:t>-avhandlinger og vitenskapelige stillinger (</w:t>
      </w:r>
      <w:proofErr w:type="spellStart"/>
      <w:r>
        <w:t>ca</w:t>
      </w:r>
      <w:proofErr w:type="spellEnd"/>
      <w:r>
        <w:t xml:space="preserve"> 0,98 </w:t>
      </w:r>
      <w:proofErr w:type="spellStart"/>
      <w:r>
        <w:t>mill</w:t>
      </w:r>
      <w:proofErr w:type="spellEnd"/>
      <w:r>
        <w:t>) og kostnader knyttet til studieprogrammene (</w:t>
      </w:r>
      <w:proofErr w:type="spellStart"/>
      <w:r>
        <w:t>ca</w:t>
      </w:r>
      <w:proofErr w:type="spellEnd"/>
      <w:r>
        <w:t xml:space="preserve"> 1,</w:t>
      </w:r>
      <w:r w:rsidR="001E00D5">
        <w:t>6</w:t>
      </w:r>
      <w:r>
        <w:t xml:space="preserve">7 </w:t>
      </w:r>
      <w:proofErr w:type="spellStart"/>
      <w:r>
        <w:t>mill</w:t>
      </w:r>
      <w:proofErr w:type="spellEnd"/>
      <w:r>
        <w:t>)</w:t>
      </w:r>
      <w:r w:rsidR="000E491C">
        <w:rPr>
          <w:rStyle w:val="FootnoteReference"/>
        </w:rPr>
        <w:footnoteReference w:id="1"/>
      </w:r>
      <w:r>
        <w:t>.</w:t>
      </w:r>
      <w:r w:rsidR="000E491C">
        <w:t xml:space="preserve">  </w:t>
      </w:r>
      <w:r>
        <w:t xml:space="preserve"> Kostnadene knyttet til bedømmelse av </w:t>
      </w:r>
      <w:proofErr w:type="spellStart"/>
      <w:r>
        <w:t>phd</w:t>
      </w:r>
      <w:proofErr w:type="spellEnd"/>
      <w:r>
        <w:t>-avhandlinger kan ikke styres og budsjettet for disse og bedømmelse til vitenskapelige stillinger er en ren framskrivning av tidligere regnskapstall. For studieprogrammene så vil det heller ikke være mulig å styre kostnadene knyttet til ekstern sensur ettersom dette er et pålagt krav for alle masteroppgaver og behandling av klagesaker, så også disse kostnadene er framskrevet med basis i regnskapstall.</w:t>
      </w:r>
      <w:r w:rsidR="001E00D5">
        <w:t xml:space="preserve"> Dette utgjør 0,68 mill. Vi står da igjen med </w:t>
      </w:r>
      <w:proofErr w:type="spellStart"/>
      <w:r w:rsidR="001E00D5">
        <w:t>ca</w:t>
      </w:r>
      <w:proofErr w:type="spellEnd"/>
      <w:r w:rsidR="001E00D5">
        <w:t xml:space="preserve"> 1 </w:t>
      </w:r>
      <w:proofErr w:type="spellStart"/>
      <w:r w:rsidR="00717DEE">
        <w:t>mill</w:t>
      </w:r>
      <w:proofErr w:type="spellEnd"/>
      <w:r w:rsidR="00717DEE">
        <w:t xml:space="preserve"> fordelt på studieprogram/fag</w:t>
      </w:r>
      <w:r w:rsidR="001E00D5">
        <w:t>.</w:t>
      </w:r>
      <w:r w:rsidR="00E5487F">
        <w:t xml:space="preserve"> Vi viser til egen gjennomgang av timelønn og driftsmidler til </w:t>
      </w:r>
      <w:r w:rsidR="000B2D76">
        <w:t>studieprogrammene</w:t>
      </w:r>
      <w:r w:rsidR="00E5487F">
        <w:t xml:space="preserve"> nedenfor. </w:t>
      </w:r>
      <w:r w:rsidR="001E00D5">
        <w:t xml:space="preserve"> </w:t>
      </w:r>
    </w:p>
    <w:p w14:paraId="78F9312A" w14:textId="77777777" w:rsidR="004A4809" w:rsidRDefault="004A4809" w:rsidP="004A4809">
      <w:pPr>
        <w:pStyle w:val="Heading3"/>
      </w:pPr>
      <w:r>
        <w:t>Drift og investeringer</w:t>
      </w:r>
    </w:p>
    <w:p w14:paraId="0AE01A0A" w14:textId="039C9B99" w:rsidR="004A4809" w:rsidRDefault="004A4809" w:rsidP="004A4809">
      <w:r>
        <w:t xml:space="preserve">I forslaget er det lagt opp til en reduksjon i driftsmidlene sammenlignet med 2019. Tildelingen ut til driftsmidler i avdelingene er redusert fra 5,4 </w:t>
      </w:r>
      <w:proofErr w:type="spellStart"/>
      <w:r>
        <w:t>mill</w:t>
      </w:r>
      <w:proofErr w:type="spellEnd"/>
      <w:r>
        <w:t xml:space="preserve"> til 4,5 mill. Det er i tillegg justert ned på forventede driftskostnader knyttet til kontordrift ved instituttet. Investeringsbudsjettet er justert litt opp målt mot prognosen for 2019. Årsaken til det er et nødvendig bytte av AV-utsyr på tre undervisnings/møterom i Fredrik Holsts hus</w:t>
      </w:r>
      <w:r w:rsidR="000B2D76">
        <w:t>.</w:t>
      </w:r>
      <w:r>
        <w:t xml:space="preserve"> </w:t>
      </w:r>
      <w:r w:rsidR="00E5487F">
        <w:t xml:space="preserve">For drift og investeringer er det budsjettert med til sammen 13,1 </w:t>
      </w:r>
      <w:proofErr w:type="spellStart"/>
      <w:r w:rsidR="00E5487F">
        <w:t>mill</w:t>
      </w:r>
      <w:proofErr w:type="spellEnd"/>
      <w:r w:rsidR="00E5487F">
        <w:t xml:space="preserve"> for 2020 mot 15,3 </w:t>
      </w:r>
      <w:proofErr w:type="spellStart"/>
      <w:r w:rsidR="00E5487F">
        <w:t>mill</w:t>
      </w:r>
      <w:proofErr w:type="spellEnd"/>
      <w:r w:rsidR="00E5487F">
        <w:t xml:space="preserve"> for 2019.</w:t>
      </w:r>
    </w:p>
    <w:p w14:paraId="2A09EAAA" w14:textId="7D49D450" w:rsidR="009C2FF9" w:rsidRDefault="009C2FF9" w:rsidP="004A4809">
      <w:r>
        <w:t xml:space="preserve">Når det gjelder driften av studieprogrammene </w:t>
      </w:r>
      <w:r w:rsidRPr="00EF2469">
        <w:t>vi</w:t>
      </w:r>
      <w:r>
        <w:t>l vi</w:t>
      </w:r>
      <w:r w:rsidRPr="00EF2469">
        <w:t xml:space="preserve"> sende ut forslag til ramme pr pro</w:t>
      </w:r>
      <w:r>
        <w:t>gram og be om en plan for ressursbruken. Forslaget til ramme vil dels være basert på historiske kostnader og dels en forventning om at utgiftene per studieprogram over tid skal nærme seg hverandre når det er justert særlige hensyn som f.eks. veiledning i klinisk praksis (AGS)</w:t>
      </w:r>
      <w:r w:rsidRPr="00EF2469">
        <w:t>.</w:t>
      </w:r>
      <w:r>
        <w:t xml:space="preserve"> I budsjettforslaget ligger det derfor fortsatt inne en framskrivning av regnskapstall pr </w:t>
      </w:r>
      <w:proofErr w:type="spellStart"/>
      <w:r>
        <w:t>studieprorgam</w:t>
      </w:r>
      <w:proofErr w:type="spellEnd"/>
      <w:r>
        <w:t xml:space="preserve">/fag. Vi forventer ikke at eventuelle justeringer i rammen vil ha noen vesentlig effekt i årsbudsjettet. </w:t>
      </w:r>
    </w:p>
    <w:p w14:paraId="525395D3" w14:textId="77777777" w:rsidR="004A4809" w:rsidRDefault="004A4809" w:rsidP="004A4809">
      <w:pPr>
        <w:pStyle w:val="Heading3"/>
      </w:pPr>
      <w:r>
        <w:t>Nettobidrag fra eksternfinansierte prosjekter</w:t>
      </w:r>
      <w:r w:rsidR="00E5487F">
        <w:t xml:space="preserve"> og prosjektavslutninger</w:t>
      </w:r>
    </w:p>
    <w:p w14:paraId="6BA78F39" w14:textId="7B440A97" w:rsidR="004A4809" w:rsidRDefault="004A4809" w:rsidP="004A4809">
      <w:r>
        <w:t xml:space="preserve">Nettobidraget for 2020 er i all hovedsak basert på aktiviteten i allerede kjente prosjekter. Det er lagt inn </w:t>
      </w:r>
      <w:r w:rsidR="00A007EC">
        <w:t xml:space="preserve">forventninger om nærmere 3 </w:t>
      </w:r>
      <w:proofErr w:type="spellStart"/>
      <w:r w:rsidR="00A007EC">
        <w:t>mill</w:t>
      </w:r>
      <w:proofErr w:type="spellEnd"/>
      <w:r w:rsidR="00A007EC">
        <w:t xml:space="preserve"> i nye inntekter knyttet til private </w:t>
      </w:r>
      <w:proofErr w:type="spellStart"/>
      <w:r w:rsidR="00A007EC">
        <w:t>finansiører</w:t>
      </w:r>
      <w:proofErr w:type="spellEnd"/>
      <w:r w:rsidR="00A007EC">
        <w:t xml:space="preserve"> og nesten en halv million i inntekter fra EU. Fra NFR og andre statlige </w:t>
      </w:r>
      <w:proofErr w:type="spellStart"/>
      <w:r w:rsidR="00A007EC">
        <w:t>finansiører</w:t>
      </w:r>
      <w:proofErr w:type="spellEnd"/>
      <w:r w:rsidR="00A007EC">
        <w:t xml:space="preserve"> ligger kjente inntekter allerede over måltall</w:t>
      </w:r>
      <w:r w:rsidR="000B2D76">
        <w:t>et</w:t>
      </w:r>
      <w:r w:rsidR="00A007EC">
        <w:t xml:space="preserve"> for 2020. </w:t>
      </w:r>
      <w:r w:rsidR="00E5487F">
        <w:t xml:space="preserve">Budsjettert nettobidrag for 2020 er 34,7 </w:t>
      </w:r>
      <w:proofErr w:type="spellStart"/>
      <w:r w:rsidR="00E5487F">
        <w:t>mill</w:t>
      </w:r>
      <w:proofErr w:type="spellEnd"/>
      <w:r w:rsidR="00E5487F">
        <w:t xml:space="preserve"> noe som er </w:t>
      </w:r>
      <w:proofErr w:type="spellStart"/>
      <w:r w:rsidR="00E5487F">
        <w:t>ca</w:t>
      </w:r>
      <w:proofErr w:type="spellEnd"/>
      <w:r w:rsidR="00E5487F">
        <w:t xml:space="preserve"> 3,5 </w:t>
      </w:r>
      <w:proofErr w:type="spellStart"/>
      <w:r w:rsidR="00E5487F">
        <w:t>mill</w:t>
      </w:r>
      <w:proofErr w:type="spellEnd"/>
      <w:r w:rsidR="00E5487F">
        <w:t xml:space="preserve"> høyere enn for 2019. </w:t>
      </w:r>
    </w:p>
    <w:p w14:paraId="162E7A2A" w14:textId="7C573B69" w:rsidR="00E5487F" w:rsidRDefault="00A007EC" w:rsidP="00E5487F">
      <w:r>
        <w:t xml:space="preserve">For prosjektavslutninger så vil det avsluttes et oppdragsprosjekt i 2020 med et overskudd på 1,4 </w:t>
      </w:r>
      <w:proofErr w:type="spellStart"/>
      <w:r>
        <w:t>mill</w:t>
      </w:r>
      <w:proofErr w:type="spellEnd"/>
      <w:r>
        <w:t xml:space="preserve"> mot basis. Oppdraget har bestått i kurs</w:t>
      </w:r>
      <w:r w:rsidR="000B2D76">
        <w:t>ing av</w:t>
      </w:r>
      <w:r>
        <w:t xml:space="preserve"> utenlandsk utdannet helsepersonell som skal ha rett til å sykemelde i Norge, primært kir</w:t>
      </w:r>
      <w:r w:rsidR="00E5487F">
        <w:t xml:space="preserve">opraktorer og fysioterapeuter. </w:t>
      </w:r>
    </w:p>
    <w:p w14:paraId="0105500B" w14:textId="77777777" w:rsidR="009C2FF9" w:rsidRDefault="009C2FF9">
      <w:pPr>
        <w:rPr>
          <w:rFonts w:asciiTheme="majorHAnsi" w:eastAsiaTheme="majorEastAsia" w:hAnsiTheme="majorHAnsi" w:cstheme="majorBidi"/>
          <w:color w:val="243F60" w:themeColor="accent1" w:themeShade="7F"/>
          <w:sz w:val="24"/>
          <w:szCs w:val="24"/>
        </w:rPr>
      </w:pPr>
      <w:r>
        <w:br w:type="page"/>
      </w:r>
    </w:p>
    <w:p w14:paraId="10116BDC" w14:textId="58F66ECB" w:rsidR="00E5487F" w:rsidRDefault="00E5487F" w:rsidP="00E5487F">
      <w:pPr>
        <w:pStyle w:val="Heading3"/>
      </w:pPr>
      <w:r>
        <w:lastRenderedPageBreak/>
        <w:t>Oppsummering Budsjett 2020</w:t>
      </w:r>
    </w:p>
    <w:tbl>
      <w:tblPr>
        <w:tblW w:w="7856" w:type="dxa"/>
        <w:tblCellMar>
          <w:left w:w="70" w:type="dxa"/>
          <w:right w:w="70" w:type="dxa"/>
        </w:tblCellMar>
        <w:tblLook w:val="04A0" w:firstRow="1" w:lastRow="0" w:firstColumn="1" w:lastColumn="0" w:noHBand="0" w:noVBand="1"/>
      </w:tblPr>
      <w:tblGrid>
        <w:gridCol w:w="4428"/>
        <w:gridCol w:w="3428"/>
      </w:tblGrid>
      <w:tr w:rsidR="00E5487F" w:rsidRPr="00E5487F" w14:paraId="327418AD" w14:textId="77777777" w:rsidTr="00E5487F">
        <w:trPr>
          <w:trHeight w:val="300"/>
        </w:trPr>
        <w:tc>
          <w:tcPr>
            <w:tcW w:w="4428" w:type="dxa"/>
            <w:tcBorders>
              <w:top w:val="single" w:sz="4" w:space="0" w:color="D9D9D9"/>
              <w:left w:val="nil"/>
              <w:bottom w:val="single" w:sz="4" w:space="0" w:color="D9D9D9"/>
              <w:right w:val="single" w:sz="4" w:space="0" w:color="808080"/>
            </w:tcBorders>
            <w:shd w:val="clear" w:color="auto" w:fill="auto"/>
            <w:noWrap/>
            <w:vAlign w:val="bottom"/>
            <w:hideMark/>
          </w:tcPr>
          <w:p w14:paraId="07639F28" w14:textId="77777777" w:rsidR="00E5487F" w:rsidRPr="00E5487F" w:rsidRDefault="00E5487F" w:rsidP="00E5487F">
            <w:pPr>
              <w:spacing w:after="0" w:line="240" w:lineRule="auto"/>
              <w:rPr>
                <w:rFonts w:ascii="Calibri" w:eastAsia="Times New Roman" w:hAnsi="Calibri" w:cs="Calibri"/>
                <w:color w:val="000000"/>
                <w:lang w:eastAsia="nb-NO"/>
              </w:rPr>
            </w:pPr>
            <w:r w:rsidRPr="00E5487F">
              <w:rPr>
                <w:rFonts w:ascii="Calibri" w:eastAsia="Times New Roman" w:hAnsi="Calibri" w:cs="Calibri"/>
                <w:color w:val="000000"/>
                <w:lang w:eastAsia="nb-NO"/>
              </w:rPr>
              <w:t>Inntekter</w:t>
            </w:r>
          </w:p>
        </w:tc>
        <w:tc>
          <w:tcPr>
            <w:tcW w:w="3428" w:type="dxa"/>
            <w:tcBorders>
              <w:top w:val="single" w:sz="4" w:space="0" w:color="D9D9D9"/>
              <w:left w:val="nil"/>
              <w:bottom w:val="single" w:sz="4" w:space="0" w:color="D9D9D9"/>
              <w:right w:val="nil"/>
            </w:tcBorders>
            <w:shd w:val="clear" w:color="auto" w:fill="auto"/>
            <w:noWrap/>
            <w:vAlign w:val="bottom"/>
            <w:hideMark/>
          </w:tcPr>
          <w:p w14:paraId="13DD78E8" w14:textId="77777777" w:rsidR="00E5487F" w:rsidRPr="00E5487F" w:rsidRDefault="00E5487F" w:rsidP="00E5487F">
            <w:pPr>
              <w:spacing w:after="0" w:line="240" w:lineRule="auto"/>
              <w:jc w:val="right"/>
              <w:rPr>
                <w:rFonts w:ascii="Calibri" w:eastAsia="Times New Roman" w:hAnsi="Calibri" w:cs="Calibri"/>
                <w:color w:val="000000"/>
                <w:lang w:eastAsia="nb-NO"/>
              </w:rPr>
            </w:pPr>
            <w:r w:rsidRPr="00E5487F">
              <w:rPr>
                <w:rFonts w:ascii="Calibri" w:eastAsia="Times New Roman" w:hAnsi="Calibri" w:cs="Calibri"/>
                <w:color w:val="000000"/>
                <w:lang w:eastAsia="nb-NO"/>
              </w:rPr>
              <w:t>-98 076 753</w:t>
            </w:r>
          </w:p>
        </w:tc>
      </w:tr>
      <w:tr w:rsidR="00E5487F" w:rsidRPr="00E5487F" w14:paraId="1C206285" w14:textId="77777777" w:rsidTr="00E5487F">
        <w:trPr>
          <w:trHeight w:val="300"/>
        </w:trPr>
        <w:tc>
          <w:tcPr>
            <w:tcW w:w="4428" w:type="dxa"/>
            <w:tcBorders>
              <w:top w:val="single" w:sz="4" w:space="0" w:color="D9D9D9"/>
              <w:left w:val="nil"/>
              <w:bottom w:val="single" w:sz="4" w:space="0" w:color="D9D9D9"/>
              <w:right w:val="single" w:sz="4" w:space="0" w:color="808080"/>
            </w:tcBorders>
            <w:shd w:val="clear" w:color="auto" w:fill="auto"/>
            <w:noWrap/>
            <w:vAlign w:val="bottom"/>
            <w:hideMark/>
          </w:tcPr>
          <w:p w14:paraId="2AE367C3" w14:textId="77777777" w:rsidR="00E5487F" w:rsidRPr="00E5487F" w:rsidRDefault="00E5487F" w:rsidP="00E5487F">
            <w:pPr>
              <w:spacing w:after="0" w:line="240" w:lineRule="auto"/>
              <w:rPr>
                <w:rFonts w:ascii="Calibri" w:eastAsia="Times New Roman" w:hAnsi="Calibri" w:cs="Calibri"/>
                <w:color w:val="000000"/>
                <w:lang w:eastAsia="nb-NO"/>
              </w:rPr>
            </w:pPr>
            <w:r w:rsidRPr="00E5487F">
              <w:rPr>
                <w:rFonts w:ascii="Calibri" w:eastAsia="Times New Roman" w:hAnsi="Calibri" w:cs="Calibri"/>
                <w:color w:val="000000"/>
                <w:lang w:eastAsia="nb-NO"/>
              </w:rPr>
              <w:t>Personalkostnader</w:t>
            </w:r>
          </w:p>
        </w:tc>
        <w:tc>
          <w:tcPr>
            <w:tcW w:w="3428" w:type="dxa"/>
            <w:tcBorders>
              <w:top w:val="single" w:sz="4" w:space="0" w:color="D9D9D9"/>
              <w:left w:val="nil"/>
              <w:bottom w:val="single" w:sz="4" w:space="0" w:color="D9D9D9"/>
              <w:right w:val="nil"/>
            </w:tcBorders>
            <w:shd w:val="clear" w:color="auto" w:fill="auto"/>
            <w:noWrap/>
            <w:vAlign w:val="bottom"/>
            <w:hideMark/>
          </w:tcPr>
          <w:p w14:paraId="71105F2E" w14:textId="77777777" w:rsidR="00E5487F" w:rsidRPr="00E5487F" w:rsidRDefault="00E5487F" w:rsidP="00E5487F">
            <w:pPr>
              <w:spacing w:after="0" w:line="240" w:lineRule="auto"/>
              <w:jc w:val="right"/>
              <w:rPr>
                <w:rFonts w:ascii="Calibri" w:eastAsia="Times New Roman" w:hAnsi="Calibri" w:cs="Calibri"/>
                <w:color w:val="000000"/>
                <w:lang w:eastAsia="nb-NO"/>
              </w:rPr>
            </w:pPr>
            <w:r w:rsidRPr="00E5487F">
              <w:rPr>
                <w:rFonts w:ascii="Calibri" w:eastAsia="Times New Roman" w:hAnsi="Calibri" w:cs="Calibri"/>
                <w:color w:val="000000"/>
                <w:lang w:eastAsia="nb-NO"/>
              </w:rPr>
              <w:t>121 512 648</w:t>
            </w:r>
          </w:p>
        </w:tc>
      </w:tr>
      <w:tr w:rsidR="00E5487F" w:rsidRPr="00E5487F" w14:paraId="52ABEE76" w14:textId="77777777" w:rsidTr="00E5487F">
        <w:trPr>
          <w:trHeight w:val="300"/>
        </w:trPr>
        <w:tc>
          <w:tcPr>
            <w:tcW w:w="4428" w:type="dxa"/>
            <w:tcBorders>
              <w:top w:val="single" w:sz="4" w:space="0" w:color="D9D9D9"/>
              <w:left w:val="nil"/>
              <w:bottom w:val="single" w:sz="4" w:space="0" w:color="D9D9D9"/>
              <w:right w:val="single" w:sz="4" w:space="0" w:color="808080"/>
            </w:tcBorders>
            <w:shd w:val="clear" w:color="auto" w:fill="auto"/>
            <w:noWrap/>
            <w:vAlign w:val="bottom"/>
            <w:hideMark/>
          </w:tcPr>
          <w:p w14:paraId="21705711" w14:textId="77777777" w:rsidR="00E5487F" w:rsidRPr="00E5487F" w:rsidRDefault="00E5487F" w:rsidP="00E5487F">
            <w:pPr>
              <w:spacing w:after="0" w:line="240" w:lineRule="auto"/>
              <w:rPr>
                <w:rFonts w:ascii="Calibri" w:eastAsia="Times New Roman" w:hAnsi="Calibri" w:cs="Calibri"/>
                <w:color w:val="000000"/>
                <w:lang w:eastAsia="nb-NO"/>
              </w:rPr>
            </w:pPr>
            <w:r w:rsidRPr="00E5487F">
              <w:rPr>
                <w:rFonts w:ascii="Calibri" w:eastAsia="Times New Roman" w:hAnsi="Calibri" w:cs="Calibri"/>
                <w:color w:val="000000"/>
                <w:lang w:eastAsia="nb-NO"/>
              </w:rPr>
              <w:t>Driftskostnader</w:t>
            </w:r>
          </w:p>
        </w:tc>
        <w:tc>
          <w:tcPr>
            <w:tcW w:w="3428" w:type="dxa"/>
            <w:tcBorders>
              <w:top w:val="single" w:sz="4" w:space="0" w:color="D9D9D9"/>
              <w:left w:val="nil"/>
              <w:bottom w:val="single" w:sz="4" w:space="0" w:color="D9D9D9"/>
              <w:right w:val="nil"/>
            </w:tcBorders>
            <w:shd w:val="clear" w:color="auto" w:fill="auto"/>
            <w:noWrap/>
            <w:vAlign w:val="bottom"/>
            <w:hideMark/>
          </w:tcPr>
          <w:p w14:paraId="6DC8FD57" w14:textId="77777777" w:rsidR="00E5487F" w:rsidRPr="00E5487F" w:rsidRDefault="00E5487F" w:rsidP="00E5487F">
            <w:pPr>
              <w:spacing w:after="0" w:line="240" w:lineRule="auto"/>
              <w:jc w:val="right"/>
              <w:rPr>
                <w:rFonts w:ascii="Calibri" w:eastAsia="Times New Roman" w:hAnsi="Calibri" w:cs="Calibri"/>
                <w:color w:val="000000"/>
                <w:lang w:eastAsia="nb-NO"/>
              </w:rPr>
            </w:pPr>
            <w:r w:rsidRPr="00E5487F">
              <w:rPr>
                <w:rFonts w:ascii="Calibri" w:eastAsia="Times New Roman" w:hAnsi="Calibri" w:cs="Calibri"/>
                <w:color w:val="000000"/>
                <w:lang w:eastAsia="nb-NO"/>
              </w:rPr>
              <w:t>11 135 748</w:t>
            </w:r>
          </w:p>
        </w:tc>
      </w:tr>
      <w:tr w:rsidR="00E5487F" w:rsidRPr="00E5487F" w14:paraId="4CD3EFC6" w14:textId="77777777" w:rsidTr="00E5487F">
        <w:trPr>
          <w:trHeight w:val="300"/>
        </w:trPr>
        <w:tc>
          <w:tcPr>
            <w:tcW w:w="4428" w:type="dxa"/>
            <w:tcBorders>
              <w:top w:val="single" w:sz="4" w:space="0" w:color="D9D9D9"/>
              <w:left w:val="nil"/>
              <w:bottom w:val="single" w:sz="4" w:space="0" w:color="D9D9D9"/>
              <w:right w:val="single" w:sz="4" w:space="0" w:color="808080"/>
            </w:tcBorders>
            <w:shd w:val="clear" w:color="auto" w:fill="auto"/>
            <w:noWrap/>
            <w:vAlign w:val="bottom"/>
            <w:hideMark/>
          </w:tcPr>
          <w:p w14:paraId="28E80873" w14:textId="77777777" w:rsidR="00E5487F" w:rsidRPr="00E5487F" w:rsidRDefault="00E5487F" w:rsidP="00E5487F">
            <w:pPr>
              <w:spacing w:after="0" w:line="240" w:lineRule="auto"/>
              <w:rPr>
                <w:rFonts w:ascii="Calibri" w:eastAsia="Times New Roman" w:hAnsi="Calibri" w:cs="Calibri"/>
                <w:color w:val="000000"/>
                <w:lang w:eastAsia="nb-NO"/>
              </w:rPr>
            </w:pPr>
            <w:r w:rsidRPr="00E5487F">
              <w:rPr>
                <w:rFonts w:ascii="Calibri" w:eastAsia="Times New Roman" w:hAnsi="Calibri" w:cs="Calibri"/>
                <w:color w:val="000000"/>
                <w:lang w:eastAsia="nb-NO"/>
              </w:rPr>
              <w:t>Investeringer</w:t>
            </w:r>
          </w:p>
        </w:tc>
        <w:tc>
          <w:tcPr>
            <w:tcW w:w="3428" w:type="dxa"/>
            <w:tcBorders>
              <w:top w:val="single" w:sz="4" w:space="0" w:color="D9D9D9"/>
              <w:left w:val="nil"/>
              <w:bottom w:val="single" w:sz="4" w:space="0" w:color="D9D9D9"/>
              <w:right w:val="nil"/>
            </w:tcBorders>
            <w:shd w:val="clear" w:color="auto" w:fill="auto"/>
            <w:noWrap/>
            <w:vAlign w:val="bottom"/>
            <w:hideMark/>
          </w:tcPr>
          <w:p w14:paraId="6898E69C" w14:textId="77777777" w:rsidR="00E5487F" w:rsidRPr="00E5487F" w:rsidRDefault="00E5487F" w:rsidP="00E5487F">
            <w:pPr>
              <w:spacing w:after="0" w:line="240" w:lineRule="auto"/>
              <w:jc w:val="right"/>
              <w:rPr>
                <w:rFonts w:ascii="Calibri" w:eastAsia="Times New Roman" w:hAnsi="Calibri" w:cs="Calibri"/>
                <w:color w:val="000000"/>
                <w:lang w:eastAsia="nb-NO"/>
              </w:rPr>
            </w:pPr>
            <w:r w:rsidRPr="00E5487F">
              <w:rPr>
                <w:rFonts w:ascii="Calibri" w:eastAsia="Times New Roman" w:hAnsi="Calibri" w:cs="Calibri"/>
                <w:color w:val="000000"/>
                <w:lang w:eastAsia="nb-NO"/>
              </w:rPr>
              <w:t>2 000 000</w:t>
            </w:r>
          </w:p>
        </w:tc>
      </w:tr>
      <w:tr w:rsidR="00E5487F" w:rsidRPr="00E5487F" w14:paraId="7323A87B" w14:textId="77777777" w:rsidTr="00E5487F">
        <w:trPr>
          <w:trHeight w:val="300"/>
        </w:trPr>
        <w:tc>
          <w:tcPr>
            <w:tcW w:w="4428" w:type="dxa"/>
            <w:tcBorders>
              <w:top w:val="single" w:sz="4" w:space="0" w:color="D9D9D9"/>
              <w:left w:val="nil"/>
              <w:bottom w:val="single" w:sz="4" w:space="0" w:color="D9D9D9"/>
              <w:right w:val="single" w:sz="4" w:space="0" w:color="808080"/>
            </w:tcBorders>
            <w:shd w:val="clear" w:color="auto" w:fill="auto"/>
            <w:noWrap/>
            <w:vAlign w:val="bottom"/>
            <w:hideMark/>
          </w:tcPr>
          <w:p w14:paraId="79A2577E" w14:textId="77777777" w:rsidR="00E5487F" w:rsidRPr="00E5487F" w:rsidRDefault="00E5487F" w:rsidP="00E5487F">
            <w:pPr>
              <w:spacing w:after="0" w:line="240" w:lineRule="auto"/>
              <w:rPr>
                <w:rFonts w:ascii="Calibri" w:eastAsia="Times New Roman" w:hAnsi="Calibri" w:cs="Calibri"/>
                <w:color w:val="000000"/>
                <w:lang w:eastAsia="nb-NO"/>
              </w:rPr>
            </w:pPr>
            <w:r w:rsidRPr="00E5487F">
              <w:rPr>
                <w:rFonts w:ascii="Calibri" w:eastAsia="Times New Roman" w:hAnsi="Calibri" w:cs="Calibri"/>
                <w:color w:val="000000"/>
                <w:lang w:eastAsia="nb-NO"/>
              </w:rPr>
              <w:t>Nettobidrag fra eksternfinansierte prosjekter</w:t>
            </w:r>
          </w:p>
        </w:tc>
        <w:tc>
          <w:tcPr>
            <w:tcW w:w="3428" w:type="dxa"/>
            <w:tcBorders>
              <w:top w:val="single" w:sz="4" w:space="0" w:color="D9D9D9"/>
              <w:left w:val="nil"/>
              <w:bottom w:val="single" w:sz="4" w:space="0" w:color="D9D9D9"/>
              <w:right w:val="nil"/>
            </w:tcBorders>
            <w:shd w:val="clear" w:color="auto" w:fill="auto"/>
            <w:noWrap/>
            <w:vAlign w:val="bottom"/>
            <w:hideMark/>
          </w:tcPr>
          <w:p w14:paraId="6403716F" w14:textId="77777777" w:rsidR="00E5487F" w:rsidRPr="00E5487F" w:rsidRDefault="00E5487F" w:rsidP="00E5487F">
            <w:pPr>
              <w:spacing w:after="0" w:line="240" w:lineRule="auto"/>
              <w:jc w:val="right"/>
              <w:rPr>
                <w:rFonts w:ascii="Calibri" w:eastAsia="Times New Roman" w:hAnsi="Calibri" w:cs="Calibri"/>
                <w:color w:val="000000"/>
                <w:lang w:eastAsia="nb-NO"/>
              </w:rPr>
            </w:pPr>
            <w:r w:rsidRPr="00E5487F">
              <w:rPr>
                <w:rFonts w:ascii="Calibri" w:eastAsia="Times New Roman" w:hAnsi="Calibri" w:cs="Calibri"/>
                <w:color w:val="000000"/>
                <w:lang w:eastAsia="nb-NO"/>
              </w:rPr>
              <w:t>-34 656 155</w:t>
            </w:r>
          </w:p>
        </w:tc>
      </w:tr>
      <w:tr w:rsidR="00E5487F" w:rsidRPr="00E5487F" w14:paraId="4140AE2D" w14:textId="77777777" w:rsidTr="00E5487F">
        <w:trPr>
          <w:trHeight w:val="300"/>
        </w:trPr>
        <w:tc>
          <w:tcPr>
            <w:tcW w:w="4428" w:type="dxa"/>
            <w:tcBorders>
              <w:top w:val="single" w:sz="4" w:space="0" w:color="D9D9D9"/>
              <w:left w:val="nil"/>
              <w:bottom w:val="single" w:sz="4" w:space="0" w:color="D9D9D9"/>
              <w:right w:val="single" w:sz="4" w:space="0" w:color="808080"/>
            </w:tcBorders>
            <w:shd w:val="clear" w:color="auto" w:fill="auto"/>
            <w:noWrap/>
            <w:vAlign w:val="bottom"/>
            <w:hideMark/>
          </w:tcPr>
          <w:p w14:paraId="3A036BDF" w14:textId="77777777" w:rsidR="00E5487F" w:rsidRPr="00E5487F" w:rsidRDefault="00E5487F" w:rsidP="00E5487F">
            <w:pPr>
              <w:spacing w:after="0" w:line="240" w:lineRule="auto"/>
              <w:rPr>
                <w:rFonts w:ascii="Calibri" w:eastAsia="Times New Roman" w:hAnsi="Calibri" w:cs="Calibri"/>
                <w:color w:val="000000"/>
                <w:lang w:eastAsia="nb-NO"/>
              </w:rPr>
            </w:pPr>
            <w:r w:rsidRPr="00E5487F">
              <w:rPr>
                <w:rFonts w:ascii="Calibri" w:eastAsia="Times New Roman" w:hAnsi="Calibri" w:cs="Calibri"/>
                <w:color w:val="000000"/>
                <w:lang w:eastAsia="nb-NO"/>
              </w:rPr>
              <w:t>Prosjektavslutning</w:t>
            </w:r>
          </w:p>
        </w:tc>
        <w:tc>
          <w:tcPr>
            <w:tcW w:w="3428" w:type="dxa"/>
            <w:tcBorders>
              <w:top w:val="single" w:sz="4" w:space="0" w:color="D9D9D9"/>
              <w:left w:val="nil"/>
              <w:bottom w:val="single" w:sz="4" w:space="0" w:color="D9D9D9"/>
              <w:right w:val="nil"/>
            </w:tcBorders>
            <w:shd w:val="clear" w:color="auto" w:fill="auto"/>
            <w:noWrap/>
            <w:vAlign w:val="bottom"/>
            <w:hideMark/>
          </w:tcPr>
          <w:p w14:paraId="304E2726" w14:textId="77777777" w:rsidR="00E5487F" w:rsidRPr="00E5487F" w:rsidRDefault="00E5487F" w:rsidP="00E5487F">
            <w:pPr>
              <w:spacing w:after="0" w:line="240" w:lineRule="auto"/>
              <w:jc w:val="right"/>
              <w:rPr>
                <w:rFonts w:ascii="Calibri" w:eastAsia="Times New Roman" w:hAnsi="Calibri" w:cs="Calibri"/>
                <w:color w:val="000000"/>
                <w:lang w:eastAsia="nb-NO"/>
              </w:rPr>
            </w:pPr>
            <w:r w:rsidRPr="00E5487F">
              <w:rPr>
                <w:rFonts w:ascii="Calibri" w:eastAsia="Times New Roman" w:hAnsi="Calibri" w:cs="Calibri"/>
                <w:color w:val="000000"/>
                <w:lang w:eastAsia="nb-NO"/>
              </w:rPr>
              <w:t>-1 406 306</w:t>
            </w:r>
          </w:p>
        </w:tc>
      </w:tr>
      <w:tr w:rsidR="00E5487F" w:rsidRPr="00E5487F" w14:paraId="7C714DE8" w14:textId="77777777" w:rsidTr="00E5487F">
        <w:trPr>
          <w:trHeight w:val="300"/>
        </w:trPr>
        <w:tc>
          <w:tcPr>
            <w:tcW w:w="4428" w:type="dxa"/>
            <w:tcBorders>
              <w:top w:val="single" w:sz="8" w:space="0" w:color="808080"/>
              <w:left w:val="single" w:sz="8" w:space="0" w:color="808080"/>
              <w:bottom w:val="single" w:sz="8" w:space="0" w:color="808080"/>
              <w:right w:val="single" w:sz="4" w:space="0" w:color="808080"/>
            </w:tcBorders>
            <w:shd w:val="clear" w:color="auto" w:fill="auto"/>
            <w:noWrap/>
            <w:vAlign w:val="bottom"/>
            <w:hideMark/>
          </w:tcPr>
          <w:p w14:paraId="6966D83A" w14:textId="77777777" w:rsidR="00E5487F" w:rsidRPr="00E5487F" w:rsidRDefault="00E5487F" w:rsidP="00E5487F">
            <w:pPr>
              <w:spacing w:after="0" w:line="240" w:lineRule="auto"/>
              <w:rPr>
                <w:rFonts w:ascii="Calibri" w:eastAsia="Times New Roman" w:hAnsi="Calibri" w:cs="Calibri"/>
                <w:b/>
                <w:bCs/>
                <w:color w:val="000000"/>
                <w:lang w:eastAsia="nb-NO"/>
              </w:rPr>
            </w:pPr>
            <w:r w:rsidRPr="00E5487F">
              <w:rPr>
                <w:rFonts w:ascii="Calibri" w:eastAsia="Times New Roman" w:hAnsi="Calibri" w:cs="Calibri"/>
                <w:b/>
                <w:bCs/>
                <w:color w:val="000000"/>
                <w:lang w:eastAsia="nb-NO"/>
              </w:rPr>
              <w:t>Grand Total</w:t>
            </w:r>
          </w:p>
        </w:tc>
        <w:tc>
          <w:tcPr>
            <w:tcW w:w="3428" w:type="dxa"/>
            <w:tcBorders>
              <w:top w:val="single" w:sz="8" w:space="0" w:color="808080"/>
              <w:left w:val="nil"/>
              <w:bottom w:val="single" w:sz="8" w:space="0" w:color="808080"/>
              <w:right w:val="nil"/>
            </w:tcBorders>
            <w:shd w:val="clear" w:color="auto" w:fill="auto"/>
            <w:noWrap/>
            <w:vAlign w:val="bottom"/>
            <w:hideMark/>
          </w:tcPr>
          <w:p w14:paraId="298207C8" w14:textId="77777777" w:rsidR="00E5487F" w:rsidRPr="00E5487F" w:rsidRDefault="00E5487F" w:rsidP="00E5487F">
            <w:pPr>
              <w:spacing w:after="0" w:line="240" w:lineRule="auto"/>
              <w:jc w:val="right"/>
              <w:rPr>
                <w:rFonts w:ascii="Calibri" w:eastAsia="Times New Roman" w:hAnsi="Calibri" w:cs="Calibri"/>
                <w:b/>
                <w:bCs/>
                <w:color w:val="000000"/>
                <w:lang w:eastAsia="nb-NO"/>
              </w:rPr>
            </w:pPr>
            <w:r w:rsidRPr="00E5487F">
              <w:rPr>
                <w:rFonts w:ascii="Calibri" w:eastAsia="Times New Roman" w:hAnsi="Calibri" w:cs="Calibri"/>
                <w:b/>
                <w:bCs/>
                <w:color w:val="000000"/>
                <w:lang w:eastAsia="nb-NO"/>
              </w:rPr>
              <w:t>509 182</w:t>
            </w:r>
          </w:p>
        </w:tc>
      </w:tr>
    </w:tbl>
    <w:p w14:paraId="21C6BDB6" w14:textId="77777777" w:rsidR="00E5487F" w:rsidRDefault="00E5487F" w:rsidP="004A4809">
      <w:r>
        <w:t>Budsjettet for 2020 gir et isolert resultat hvor inntekter og kostnader omtrent balanserer. Effekten er dermed at det akkumulerte overforbruket vi går ut av 2019 med verken vil økes eller reduseres vesentlig</w:t>
      </w:r>
      <w:r w:rsidR="000B2D76">
        <w:t xml:space="preserve"> i 2020</w:t>
      </w:r>
      <w:r>
        <w:t>.</w:t>
      </w:r>
    </w:p>
    <w:p w14:paraId="6068AF7B" w14:textId="77777777" w:rsidR="00A007EC" w:rsidRDefault="00A007EC" w:rsidP="00A007EC">
      <w:pPr>
        <w:pStyle w:val="Heading2"/>
      </w:pPr>
      <w:r>
        <w:t>Prognose 2021-24</w:t>
      </w:r>
    </w:p>
    <w:p w14:paraId="2B20DCA6" w14:textId="77777777" w:rsidR="00E5487F" w:rsidRDefault="00FC50F4" w:rsidP="00E5487F">
      <w:r w:rsidRPr="00E5487F">
        <w:rPr>
          <w:rStyle w:val="Heading3Char"/>
        </w:rPr>
        <w:t>Inntekter</w:t>
      </w:r>
      <w:r>
        <w:t xml:space="preserve"> </w:t>
      </w:r>
    </w:p>
    <w:p w14:paraId="26BD936A" w14:textId="77777777" w:rsidR="00FC50F4" w:rsidRDefault="00E5487F" w:rsidP="00A007EC">
      <w:r>
        <w:t>Inntektene er som redegjort for i møtet 19. november basert på fakultets simulering av langtidsinntekter. Dette arbeidet bygger blant annet på innrapporterte måltall fra instituttene på studie- og forskningsproduksjon og en videreføring av ABE- og rammekutt fra UiO.</w:t>
      </w:r>
      <w:r w:rsidR="009903D9">
        <w:t xml:space="preserve"> Nedgangen i inntekter i perioden kombinert med et akkumulert merforbruk </w:t>
      </w:r>
      <w:r w:rsidR="000B2D76">
        <w:t xml:space="preserve">i hovedsak fra årene 2018 og 2019 </w:t>
      </w:r>
      <w:r w:rsidR="009903D9">
        <w:t xml:space="preserve">reduserer muligheten til å komme i økonomisk balanse i perioden. Vi vil derfor benytte </w:t>
      </w:r>
      <w:r w:rsidR="00FC50F4">
        <w:t xml:space="preserve">arbeidet med evalueringen av fakultetets fordelingsmodell </w:t>
      </w:r>
      <w:r w:rsidR="000B2D76">
        <w:t xml:space="preserve">som startes i desember </w:t>
      </w:r>
      <w:r w:rsidR="009903D9">
        <w:t xml:space="preserve">til </w:t>
      </w:r>
      <w:r w:rsidR="00FC50F4">
        <w:t>særlig</w:t>
      </w:r>
      <w:r w:rsidR="009903D9">
        <w:t xml:space="preserve"> å</w:t>
      </w:r>
      <w:r w:rsidR="00FC50F4">
        <w:t xml:space="preserve"> påpeke</w:t>
      </w:r>
      <w:r w:rsidR="009903D9">
        <w:t xml:space="preserve"> </w:t>
      </w:r>
      <w:r w:rsidR="00FC50F4">
        <w:t>at:</w:t>
      </w:r>
    </w:p>
    <w:p w14:paraId="51CD0B72" w14:textId="77777777" w:rsidR="00FC50F4" w:rsidRDefault="00FC50F4" w:rsidP="00FC50F4">
      <w:pPr>
        <w:pStyle w:val="ListParagraph"/>
        <w:numPr>
          <w:ilvl w:val="0"/>
          <w:numId w:val="3"/>
        </w:numPr>
      </w:pPr>
      <w:r>
        <w:t>når det kuttes i tildelingen ned til fakultetet så må strategimidler og fakultetsadministrasjonen ta en forholdsmessig større andel av dette slik at ikke kjernevirksomheten rammes mer enn nødvendig</w:t>
      </w:r>
    </w:p>
    <w:p w14:paraId="423CE842" w14:textId="77777777" w:rsidR="00FC50F4" w:rsidRDefault="00FC50F4" w:rsidP="00FC50F4">
      <w:pPr>
        <w:pStyle w:val="ListParagraph"/>
        <w:numPr>
          <w:ilvl w:val="0"/>
          <w:numId w:val="3"/>
        </w:numPr>
      </w:pPr>
      <w:r>
        <w:t xml:space="preserve">inntektsrammene for </w:t>
      </w:r>
      <w:r w:rsidR="000B2D76">
        <w:t xml:space="preserve">MEDs </w:t>
      </w:r>
      <w:r>
        <w:t xml:space="preserve">bachelor og masterprogrammer burde være minst som for andre </w:t>
      </w:r>
      <w:r w:rsidR="000B2D76">
        <w:t xml:space="preserve">tilsvarende </w:t>
      </w:r>
      <w:r>
        <w:t xml:space="preserve">utdanninger ved UiO. </w:t>
      </w:r>
      <w:r w:rsidR="009903D9">
        <w:t xml:space="preserve">I dagens modell viderefordeler fakultetet et kutt fra UiO på studiesiden som er begrunnet med at fakultetet har gratis husleie i sykehusarealer, men ingen av fakultets bachelor og masterprogrammer bruker sykehusarealer. </w:t>
      </w:r>
    </w:p>
    <w:p w14:paraId="35A70FA2" w14:textId="77777777" w:rsidR="00FC50F4" w:rsidRDefault="00FC50F4" w:rsidP="009903D9">
      <w:pPr>
        <w:pStyle w:val="Heading3"/>
      </w:pPr>
      <w:r>
        <w:t xml:space="preserve">Personalkostnader </w:t>
      </w:r>
    </w:p>
    <w:p w14:paraId="650F83A7" w14:textId="77777777" w:rsidR="000B2D76" w:rsidRPr="000B2D76" w:rsidRDefault="000B2D76" w:rsidP="009C2FF9">
      <w:r>
        <w:t>Hovedpunktene her er at:</w:t>
      </w:r>
    </w:p>
    <w:p w14:paraId="1F3A9AA7" w14:textId="77777777" w:rsidR="00FC50F4" w:rsidRDefault="009903D9" w:rsidP="00FC50F4">
      <w:pPr>
        <w:pStyle w:val="ListParagraph"/>
        <w:numPr>
          <w:ilvl w:val="0"/>
          <w:numId w:val="3"/>
        </w:numPr>
      </w:pPr>
      <w:r>
        <w:t>K</w:t>
      </w:r>
      <w:r w:rsidR="00FC50F4">
        <w:t xml:space="preserve">jente avganger </w:t>
      </w:r>
      <w:r w:rsidR="000B2D76">
        <w:t xml:space="preserve">for aldersgrensen </w:t>
      </w:r>
      <w:r w:rsidR="00FC50F4">
        <w:t>blir ikke erstattet i perioden</w:t>
      </w:r>
      <w:r w:rsidR="000B2D76">
        <w:t>.</w:t>
      </w:r>
    </w:p>
    <w:p w14:paraId="264BAB3F" w14:textId="5E6A0166" w:rsidR="00572559" w:rsidRDefault="000B2D76" w:rsidP="00FC50F4">
      <w:pPr>
        <w:pStyle w:val="ListParagraph"/>
        <w:numPr>
          <w:ilvl w:val="0"/>
          <w:numId w:val="3"/>
        </w:numPr>
      </w:pPr>
      <w:r>
        <w:t>A</w:t>
      </w:r>
      <w:r w:rsidR="00FC50F4">
        <w:t>dminist</w:t>
      </w:r>
      <w:r w:rsidR="00572559">
        <w:t>rativ stab</w:t>
      </w:r>
      <w:r>
        <w:t xml:space="preserve"> reduseres  </w:t>
      </w:r>
      <w:r w:rsidR="00572559">
        <w:t xml:space="preserve"> ned et halvt årsverk fra 2020, ytterligere ett fra 2021 og et halvt til fra 2022</w:t>
      </w:r>
      <w:r>
        <w:t>.</w:t>
      </w:r>
    </w:p>
    <w:p w14:paraId="3FF55AAA" w14:textId="77777777" w:rsidR="00CE2F94" w:rsidRDefault="00CE2F94" w:rsidP="00CE2F94">
      <w:r>
        <w:t xml:space="preserve">Summen av avganger i perioden kombinert med manglende </w:t>
      </w:r>
      <w:r w:rsidR="008F7AD1">
        <w:t>nytilsettinger</w:t>
      </w:r>
      <w:r>
        <w:t xml:space="preserve"> gjør at personalkostnadene faller fra 121,5 </w:t>
      </w:r>
      <w:proofErr w:type="spellStart"/>
      <w:r>
        <w:t>mill</w:t>
      </w:r>
      <w:proofErr w:type="spellEnd"/>
      <w:r>
        <w:t xml:space="preserve"> i 2020 til 109,9 </w:t>
      </w:r>
      <w:proofErr w:type="spellStart"/>
      <w:r>
        <w:t>mill</w:t>
      </w:r>
      <w:proofErr w:type="spellEnd"/>
      <w:r>
        <w:t xml:space="preserve"> i 2024. Bak fallet i kostnader ligger redusert bemanning. Årsverk på basis reduseres fra 134,2 i 2020 til 121 i 2024. </w:t>
      </w:r>
    </w:p>
    <w:tbl>
      <w:tblPr>
        <w:tblStyle w:val="TableGrid"/>
        <w:tblW w:w="0" w:type="auto"/>
        <w:tblLook w:val="04A0" w:firstRow="1" w:lastRow="0" w:firstColumn="1" w:lastColumn="0" w:noHBand="0" w:noVBand="1"/>
      </w:tblPr>
      <w:tblGrid>
        <w:gridCol w:w="2194"/>
        <w:gridCol w:w="663"/>
        <w:gridCol w:w="663"/>
        <w:gridCol w:w="765"/>
        <w:gridCol w:w="663"/>
        <w:gridCol w:w="813"/>
      </w:tblGrid>
      <w:tr w:rsidR="00CE2F94" w14:paraId="0C637A20" w14:textId="77777777" w:rsidTr="00CE2F94">
        <w:trPr>
          <w:trHeight w:val="220"/>
        </w:trPr>
        <w:tc>
          <w:tcPr>
            <w:tcW w:w="1815" w:type="dxa"/>
          </w:tcPr>
          <w:p w14:paraId="42A4103D" w14:textId="77777777" w:rsidR="00CE2F94" w:rsidRDefault="004925EA" w:rsidP="00CE2F94">
            <w:r>
              <w:t>Årsverk på basis</w:t>
            </w:r>
          </w:p>
        </w:tc>
        <w:tc>
          <w:tcPr>
            <w:tcW w:w="663" w:type="dxa"/>
          </w:tcPr>
          <w:p w14:paraId="2B0FBDE4" w14:textId="77777777" w:rsidR="00CE2F94" w:rsidRDefault="00CE2F94" w:rsidP="00CE2F94">
            <w:r>
              <w:t>2020</w:t>
            </w:r>
          </w:p>
        </w:tc>
        <w:tc>
          <w:tcPr>
            <w:tcW w:w="663" w:type="dxa"/>
          </w:tcPr>
          <w:p w14:paraId="15F4A37B" w14:textId="77777777" w:rsidR="00CE2F94" w:rsidRDefault="00CE2F94" w:rsidP="00CE2F94">
            <w:r>
              <w:t>2021</w:t>
            </w:r>
          </w:p>
        </w:tc>
        <w:tc>
          <w:tcPr>
            <w:tcW w:w="765" w:type="dxa"/>
          </w:tcPr>
          <w:p w14:paraId="65305C61" w14:textId="77777777" w:rsidR="00CE2F94" w:rsidRDefault="00CE2F94" w:rsidP="00CE2F94">
            <w:r>
              <w:t>2022</w:t>
            </w:r>
          </w:p>
        </w:tc>
        <w:tc>
          <w:tcPr>
            <w:tcW w:w="663" w:type="dxa"/>
          </w:tcPr>
          <w:p w14:paraId="0B54E602" w14:textId="77777777" w:rsidR="00CE2F94" w:rsidRDefault="00CE2F94" w:rsidP="00CE2F94">
            <w:r>
              <w:t>2023</w:t>
            </w:r>
          </w:p>
        </w:tc>
        <w:tc>
          <w:tcPr>
            <w:tcW w:w="813" w:type="dxa"/>
          </w:tcPr>
          <w:p w14:paraId="53089C5D" w14:textId="77777777" w:rsidR="00CE2F94" w:rsidRDefault="00CE2F94" w:rsidP="00CE2F94">
            <w:r>
              <w:t>2024</w:t>
            </w:r>
          </w:p>
        </w:tc>
      </w:tr>
      <w:tr w:rsidR="00CE2F94" w14:paraId="18C98722" w14:textId="77777777" w:rsidTr="00CE2F94">
        <w:trPr>
          <w:trHeight w:val="429"/>
        </w:trPr>
        <w:tc>
          <w:tcPr>
            <w:tcW w:w="1815" w:type="dxa"/>
          </w:tcPr>
          <w:p w14:paraId="5F50C509" w14:textId="77777777" w:rsidR="00CE2F94" w:rsidRDefault="00CE2F94" w:rsidP="00CE2F94">
            <w:r>
              <w:t>Professor og førsteamanuensis</w:t>
            </w:r>
          </w:p>
        </w:tc>
        <w:tc>
          <w:tcPr>
            <w:tcW w:w="663" w:type="dxa"/>
          </w:tcPr>
          <w:p w14:paraId="38A3D8F0" w14:textId="77777777" w:rsidR="00CE2F94" w:rsidRDefault="00CE2F94" w:rsidP="00CE2F94">
            <w:r>
              <w:t>59,1</w:t>
            </w:r>
          </w:p>
        </w:tc>
        <w:tc>
          <w:tcPr>
            <w:tcW w:w="663" w:type="dxa"/>
          </w:tcPr>
          <w:p w14:paraId="00C653E5" w14:textId="77777777" w:rsidR="00CE2F94" w:rsidRDefault="00CE2F94" w:rsidP="00CE2F94">
            <w:r>
              <w:t>57,1</w:t>
            </w:r>
          </w:p>
        </w:tc>
        <w:tc>
          <w:tcPr>
            <w:tcW w:w="765" w:type="dxa"/>
          </w:tcPr>
          <w:p w14:paraId="538D3076" w14:textId="77777777" w:rsidR="00CE2F94" w:rsidRDefault="00CE2F94" w:rsidP="00CE2F94">
            <w:r>
              <w:t>53,1</w:t>
            </w:r>
          </w:p>
        </w:tc>
        <w:tc>
          <w:tcPr>
            <w:tcW w:w="663" w:type="dxa"/>
          </w:tcPr>
          <w:p w14:paraId="6A890884" w14:textId="77777777" w:rsidR="00CE2F94" w:rsidRDefault="00CE2F94" w:rsidP="00CE2F94">
            <w:r>
              <w:t>54,3</w:t>
            </w:r>
          </w:p>
        </w:tc>
        <w:tc>
          <w:tcPr>
            <w:tcW w:w="813" w:type="dxa"/>
          </w:tcPr>
          <w:p w14:paraId="2618999B" w14:textId="77777777" w:rsidR="00CE2F94" w:rsidRDefault="00CE2F94" w:rsidP="00CE2F94">
            <w:r>
              <w:t>55,3</w:t>
            </w:r>
          </w:p>
        </w:tc>
      </w:tr>
      <w:tr w:rsidR="00CE2F94" w14:paraId="28E11C70" w14:textId="77777777" w:rsidTr="00CE2F94">
        <w:trPr>
          <w:trHeight w:val="220"/>
        </w:trPr>
        <w:tc>
          <w:tcPr>
            <w:tcW w:w="1815" w:type="dxa"/>
          </w:tcPr>
          <w:p w14:paraId="0651E332" w14:textId="77777777" w:rsidR="00CE2F94" w:rsidRDefault="00CE2F94" w:rsidP="00CE2F94">
            <w:r>
              <w:t>Universitetslektor</w:t>
            </w:r>
          </w:p>
        </w:tc>
        <w:tc>
          <w:tcPr>
            <w:tcW w:w="663" w:type="dxa"/>
          </w:tcPr>
          <w:p w14:paraId="0E859F5A" w14:textId="77777777" w:rsidR="00CE2F94" w:rsidRDefault="004925EA" w:rsidP="00CE2F94">
            <w:r>
              <w:t>2,7</w:t>
            </w:r>
          </w:p>
        </w:tc>
        <w:tc>
          <w:tcPr>
            <w:tcW w:w="663" w:type="dxa"/>
          </w:tcPr>
          <w:p w14:paraId="373EFD4A" w14:textId="77777777" w:rsidR="00CE2F94" w:rsidRDefault="004925EA" w:rsidP="00CE2F94">
            <w:r>
              <w:t>2,8</w:t>
            </w:r>
          </w:p>
        </w:tc>
        <w:tc>
          <w:tcPr>
            <w:tcW w:w="765" w:type="dxa"/>
          </w:tcPr>
          <w:p w14:paraId="0687BF33" w14:textId="77777777" w:rsidR="00CE2F94" w:rsidRDefault="004925EA" w:rsidP="00CE2F94">
            <w:r>
              <w:t>3,6</w:t>
            </w:r>
          </w:p>
        </w:tc>
        <w:tc>
          <w:tcPr>
            <w:tcW w:w="663" w:type="dxa"/>
          </w:tcPr>
          <w:p w14:paraId="20BECDAA" w14:textId="77777777" w:rsidR="00CE2F94" w:rsidRDefault="004925EA" w:rsidP="00CE2F94">
            <w:r>
              <w:t>4,6</w:t>
            </w:r>
          </w:p>
        </w:tc>
        <w:tc>
          <w:tcPr>
            <w:tcW w:w="813" w:type="dxa"/>
          </w:tcPr>
          <w:p w14:paraId="52E4A6D5" w14:textId="77777777" w:rsidR="00CE2F94" w:rsidRDefault="004925EA" w:rsidP="00CE2F94">
            <w:r>
              <w:t>5</w:t>
            </w:r>
          </w:p>
        </w:tc>
      </w:tr>
      <w:tr w:rsidR="004925EA" w14:paraId="4DDD2A0B" w14:textId="77777777" w:rsidTr="00CE2F94">
        <w:trPr>
          <w:trHeight w:val="220"/>
        </w:trPr>
        <w:tc>
          <w:tcPr>
            <w:tcW w:w="1815" w:type="dxa"/>
          </w:tcPr>
          <w:p w14:paraId="5F0CAD1B" w14:textId="77777777" w:rsidR="004925EA" w:rsidRDefault="004925EA" w:rsidP="00CE2F94">
            <w:r>
              <w:t>Universitetslektorer praksis</w:t>
            </w:r>
          </w:p>
        </w:tc>
        <w:tc>
          <w:tcPr>
            <w:tcW w:w="663" w:type="dxa"/>
          </w:tcPr>
          <w:p w14:paraId="0459DC66" w14:textId="77777777" w:rsidR="004925EA" w:rsidRDefault="004925EA" w:rsidP="00CE2F94">
            <w:r>
              <w:t>16,8</w:t>
            </w:r>
          </w:p>
        </w:tc>
        <w:tc>
          <w:tcPr>
            <w:tcW w:w="663" w:type="dxa"/>
          </w:tcPr>
          <w:p w14:paraId="0668E4A3" w14:textId="77777777" w:rsidR="004925EA" w:rsidRDefault="004925EA" w:rsidP="00CE2F94">
            <w:r>
              <w:t>16,8</w:t>
            </w:r>
          </w:p>
        </w:tc>
        <w:tc>
          <w:tcPr>
            <w:tcW w:w="765" w:type="dxa"/>
          </w:tcPr>
          <w:p w14:paraId="011801CF" w14:textId="77777777" w:rsidR="004925EA" w:rsidRDefault="004925EA" w:rsidP="00CE2F94">
            <w:r>
              <w:t>16,8</w:t>
            </w:r>
          </w:p>
        </w:tc>
        <w:tc>
          <w:tcPr>
            <w:tcW w:w="663" w:type="dxa"/>
          </w:tcPr>
          <w:p w14:paraId="110A0558" w14:textId="77777777" w:rsidR="004925EA" w:rsidRDefault="004925EA" w:rsidP="00CE2F94">
            <w:r>
              <w:t>16,8</w:t>
            </w:r>
          </w:p>
        </w:tc>
        <w:tc>
          <w:tcPr>
            <w:tcW w:w="813" w:type="dxa"/>
          </w:tcPr>
          <w:p w14:paraId="487BBBB7" w14:textId="77777777" w:rsidR="004925EA" w:rsidRDefault="004925EA" w:rsidP="00CE2F94">
            <w:r>
              <w:t>16,8</w:t>
            </w:r>
          </w:p>
        </w:tc>
      </w:tr>
      <w:tr w:rsidR="00CE2F94" w14:paraId="16A37C2D" w14:textId="77777777" w:rsidTr="00CE2F94">
        <w:trPr>
          <w:trHeight w:val="208"/>
        </w:trPr>
        <w:tc>
          <w:tcPr>
            <w:tcW w:w="1815" w:type="dxa"/>
          </w:tcPr>
          <w:p w14:paraId="38A2BFF6" w14:textId="77777777" w:rsidR="00CE2F94" w:rsidRDefault="00CE2F94" w:rsidP="00CE2F94">
            <w:r>
              <w:t>Rekrutteringsstillinger</w:t>
            </w:r>
          </w:p>
        </w:tc>
        <w:tc>
          <w:tcPr>
            <w:tcW w:w="663" w:type="dxa"/>
          </w:tcPr>
          <w:p w14:paraId="56AB23A5" w14:textId="77777777" w:rsidR="00CE2F94" w:rsidRDefault="004925EA" w:rsidP="00CE2F94">
            <w:r>
              <w:t>16,5</w:t>
            </w:r>
          </w:p>
        </w:tc>
        <w:tc>
          <w:tcPr>
            <w:tcW w:w="663" w:type="dxa"/>
          </w:tcPr>
          <w:p w14:paraId="7E8364A1" w14:textId="77777777" w:rsidR="00CE2F94" w:rsidRDefault="004925EA" w:rsidP="00CE2F94">
            <w:r>
              <w:t>17,2</w:t>
            </w:r>
          </w:p>
        </w:tc>
        <w:tc>
          <w:tcPr>
            <w:tcW w:w="765" w:type="dxa"/>
          </w:tcPr>
          <w:p w14:paraId="11B85FB7" w14:textId="77777777" w:rsidR="00CE2F94" w:rsidRDefault="004925EA" w:rsidP="00CE2F94">
            <w:r>
              <w:t>15,3</w:t>
            </w:r>
          </w:p>
        </w:tc>
        <w:tc>
          <w:tcPr>
            <w:tcW w:w="663" w:type="dxa"/>
          </w:tcPr>
          <w:p w14:paraId="693CA042" w14:textId="77777777" w:rsidR="00CE2F94" w:rsidRDefault="004925EA" w:rsidP="00CE2F94">
            <w:r>
              <w:t>13,9</w:t>
            </w:r>
          </w:p>
        </w:tc>
        <w:tc>
          <w:tcPr>
            <w:tcW w:w="813" w:type="dxa"/>
          </w:tcPr>
          <w:p w14:paraId="55DCE755" w14:textId="77777777" w:rsidR="00CE2F94" w:rsidRDefault="004925EA" w:rsidP="00CE2F94">
            <w:r>
              <w:t>14,2</w:t>
            </w:r>
          </w:p>
        </w:tc>
      </w:tr>
      <w:tr w:rsidR="00CE2F94" w14:paraId="4BD99D31" w14:textId="77777777" w:rsidTr="00CE2F94">
        <w:trPr>
          <w:trHeight w:val="208"/>
        </w:trPr>
        <w:tc>
          <w:tcPr>
            <w:tcW w:w="1815" w:type="dxa"/>
          </w:tcPr>
          <w:p w14:paraId="18DF8B17" w14:textId="23C48D02" w:rsidR="00CE2F94" w:rsidRDefault="004925EA" w:rsidP="000C32A3">
            <w:r>
              <w:lastRenderedPageBreak/>
              <w:t>Tek.</w:t>
            </w:r>
            <w:r w:rsidR="000C32A3">
              <w:t>-</w:t>
            </w:r>
            <w:r>
              <w:t>adm.</w:t>
            </w:r>
            <w:r w:rsidR="000C32A3">
              <w:t xml:space="preserve"> </w:t>
            </w:r>
            <w:r>
              <w:t>stillinger</w:t>
            </w:r>
          </w:p>
        </w:tc>
        <w:tc>
          <w:tcPr>
            <w:tcW w:w="663" w:type="dxa"/>
          </w:tcPr>
          <w:p w14:paraId="52E7A26F" w14:textId="77777777" w:rsidR="00CE2F94" w:rsidRDefault="004925EA" w:rsidP="00CE2F94">
            <w:r>
              <w:t>36,2</w:t>
            </w:r>
          </w:p>
        </w:tc>
        <w:tc>
          <w:tcPr>
            <w:tcW w:w="663" w:type="dxa"/>
          </w:tcPr>
          <w:p w14:paraId="1B4F5531" w14:textId="77777777" w:rsidR="00CE2F94" w:rsidRDefault="004925EA" w:rsidP="00CE2F94">
            <w:r>
              <w:t>35,2</w:t>
            </w:r>
          </w:p>
        </w:tc>
        <w:tc>
          <w:tcPr>
            <w:tcW w:w="765" w:type="dxa"/>
          </w:tcPr>
          <w:p w14:paraId="4D83FC9C" w14:textId="77777777" w:rsidR="00CE2F94" w:rsidRDefault="004925EA" w:rsidP="00CE2F94">
            <w:r>
              <w:t>33</w:t>
            </w:r>
          </w:p>
        </w:tc>
        <w:tc>
          <w:tcPr>
            <w:tcW w:w="663" w:type="dxa"/>
          </w:tcPr>
          <w:p w14:paraId="5B7ED545" w14:textId="77777777" w:rsidR="00CE2F94" w:rsidRDefault="004925EA" w:rsidP="00CE2F94">
            <w:r>
              <w:t>31,7</w:t>
            </w:r>
          </w:p>
        </w:tc>
        <w:tc>
          <w:tcPr>
            <w:tcW w:w="813" w:type="dxa"/>
          </w:tcPr>
          <w:p w14:paraId="2BC8A7C9" w14:textId="77777777" w:rsidR="00CE2F94" w:rsidRDefault="004925EA" w:rsidP="00CE2F94">
            <w:r>
              <w:t>31,7</w:t>
            </w:r>
          </w:p>
        </w:tc>
      </w:tr>
    </w:tbl>
    <w:p w14:paraId="76702C1A" w14:textId="77777777" w:rsidR="004925EA" w:rsidRDefault="004925EA" w:rsidP="00CE2F94"/>
    <w:p w14:paraId="4858D057" w14:textId="77777777" w:rsidR="004925EA" w:rsidRDefault="004925EA" w:rsidP="00CE2F94">
      <w:r>
        <w:t xml:space="preserve">For å avhjelpe redusert kapasitet til undervisning er det lagt opp til at tilsetting av stipendiater på basis skjer som fireårig stillinger med undervisningsplikt og at disse fordeles ut der kapasitetsutfordringene er størst. For å nå instituttets måltall skal det tilsettes 4 stipendiater i 2020, fire i 2022, tre i 2023 og to i 2024. </w:t>
      </w:r>
    </w:p>
    <w:p w14:paraId="123D6CDB" w14:textId="46624F3B" w:rsidR="000C356F" w:rsidRDefault="004925EA" w:rsidP="00CE2F94">
      <w:r>
        <w:t xml:space="preserve">For å erstattet frikjøp i dummy-prosjekter </w:t>
      </w:r>
      <w:r w:rsidR="000C32A3">
        <w:t xml:space="preserve">(forventede prosjekter) </w:t>
      </w:r>
      <w:r>
        <w:t>utover i perioden er det budsjettert med tilsetting som universitetslektor eller alternativt at det legges pliktarbeid på stipendiate</w:t>
      </w:r>
      <w:r w:rsidR="000C32A3">
        <w:t>ne</w:t>
      </w:r>
      <w:r>
        <w:t xml:space="preserve">. Det vil gi en mindre reduksjon i kapasitet enn nedgangen i årsverk tilsier. </w:t>
      </w:r>
    </w:p>
    <w:p w14:paraId="5985B977" w14:textId="77777777" w:rsidR="004925EA" w:rsidRDefault="00572559" w:rsidP="004925EA">
      <w:pPr>
        <w:rPr>
          <w:rStyle w:val="Heading3Char"/>
        </w:rPr>
      </w:pPr>
      <w:r w:rsidRPr="009903D9">
        <w:rPr>
          <w:rStyle w:val="Heading3Char"/>
        </w:rPr>
        <w:t>Drift og investeringer</w:t>
      </w:r>
    </w:p>
    <w:p w14:paraId="7A28F500" w14:textId="77777777" w:rsidR="00EF2469" w:rsidRDefault="009903D9" w:rsidP="009903D9">
      <w:r>
        <w:t xml:space="preserve">Det er lagt inn en forventning om ytterligere innsparinger i drift og investeringer utover 2020 nivået. Samlet sett går drift og investeringer fra 13,1 </w:t>
      </w:r>
      <w:proofErr w:type="spellStart"/>
      <w:r>
        <w:t>mill</w:t>
      </w:r>
      <w:proofErr w:type="spellEnd"/>
      <w:r>
        <w:t xml:space="preserve"> pr år i 2020 til 10,8 </w:t>
      </w:r>
      <w:proofErr w:type="spellStart"/>
      <w:r>
        <w:t>mill</w:t>
      </w:r>
      <w:proofErr w:type="spellEnd"/>
      <w:r>
        <w:t xml:space="preserve"> i 2024. </w:t>
      </w:r>
    </w:p>
    <w:p w14:paraId="4DE8644C" w14:textId="44866B8A" w:rsidR="00A007EC" w:rsidRPr="009903D9" w:rsidRDefault="00A007EC" w:rsidP="009903D9">
      <w:pPr>
        <w:rPr>
          <w:rFonts w:asciiTheme="majorHAnsi" w:eastAsiaTheme="majorEastAsia" w:hAnsiTheme="majorHAnsi" w:cstheme="majorBidi"/>
          <w:color w:val="243F60" w:themeColor="accent1" w:themeShade="7F"/>
          <w:sz w:val="24"/>
          <w:szCs w:val="24"/>
        </w:rPr>
      </w:pPr>
    </w:p>
    <w:p w14:paraId="675C8DC6" w14:textId="77777777" w:rsidR="00572559" w:rsidRDefault="009903D9" w:rsidP="009903D9">
      <w:pPr>
        <w:pStyle w:val="Heading3"/>
      </w:pPr>
      <w:r>
        <w:t>Nettobidrag</w:t>
      </w:r>
      <w:r w:rsidR="00572559">
        <w:t xml:space="preserve"> </w:t>
      </w:r>
    </w:p>
    <w:p w14:paraId="64B7E0C9" w14:textId="77777777" w:rsidR="00572559" w:rsidRDefault="009903D9" w:rsidP="00572559">
      <w:r>
        <w:t>Beregningen av nettobidrage</w:t>
      </w:r>
      <w:r w:rsidR="002C11CC">
        <w:t xml:space="preserve">t er holdt uforandret på det nivået som ble presentert i møtet 19. november. Prognosen forutsetter opprettholdelse av et stabilt høyt nivå på nettobidraget. </w:t>
      </w:r>
    </w:p>
    <w:p w14:paraId="7D376285" w14:textId="77777777" w:rsidR="00572559" w:rsidRDefault="000C356F" w:rsidP="000C356F">
      <w:pPr>
        <w:pStyle w:val="Heading3"/>
      </w:pPr>
      <w:r>
        <w:t>Innsparingstiltak</w:t>
      </w:r>
    </w:p>
    <w:p w14:paraId="50CB90E9" w14:textId="77777777" w:rsidR="000C356F" w:rsidRDefault="000C356F" w:rsidP="000C356F">
      <w:r>
        <w:t>For å kompensere for nedgangen i antall årsverk i prognoseperioden vil vi anbefale følgende tiltak for å redusere undervisningsbehov</w:t>
      </w:r>
    </w:p>
    <w:p w14:paraId="220AD488" w14:textId="730BD25A" w:rsidR="009C2FF9" w:rsidRDefault="000C356F" w:rsidP="000C32A3">
      <w:pPr>
        <w:pStyle w:val="ListParagraph"/>
        <w:numPr>
          <w:ilvl w:val="0"/>
          <w:numId w:val="3"/>
        </w:numPr>
      </w:pPr>
      <w:r>
        <w:t xml:space="preserve">HES-emner i </w:t>
      </w:r>
      <w:proofErr w:type="spellStart"/>
      <w:r>
        <w:t>phd</w:t>
      </w:r>
      <w:proofErr w:type="spellEnd"/>
      <w:r>
        <w:t xml:space="preserve">-programmet </w:t>
      </w:r>
      <w:r w:rsidR="000C32A3">
        <w:t xml:space="preserve">søkes overført fakultet. De av emnene fakultetet ikke ønsker å finansiere </w:t>
      </w:r>
      <w:r>
        <w:t>legges ned med virkning fra 2021</w:t>
      </w:r>
      <w:r w:rsidR="009C2FF9">
        <w:t>, alternativt så gjennomføres emnene men inngår ikke i instituttets beregning av kapasitetsbehov på avdelingsnivå</w:t>
      </w:r>
      <w:r>
        <w:t xml:space="preserve">. </w:t>
      </w:r>
    </w:p>
    <w:p w14:paraId="3C7921ED" w14:textId="47299A22" w:rsidR="000C356F" w:rsidRDefault="000C356F" w:rsidP="000C32A3">
      <w:pPr>
        <w:pStyle w:val="ListParagraph"/>
        <w:numPr>
          <w:ilvl w:val="0"/>
          <w:numId w:val="3"/>
        </w:numPr>
      </w:pPr>
      <w:r>
        <w:t xml:space="preserve">Elektive emner på THV og ICH tas ned </w:t>
      </w:r>
      <w:r w:rsidR="000C32A3">
        <w:t xml:space="preserve">slik at nivået på ressursinnsats per student samsvar med ressursinnsatsen på </w:t>
      </w:r>
      <w:proofErr w:type="spellStart"/>
      <w:r w:rsidR="000C32A3">
        <w:t>eu</w:t>
      </w:r>
      <w:proofErr w:type="spellEnd"/>
      <w:r w:rsidR="000C32A3">
        <w:t xml:space="preserve">-HEM/HEPMA. </w:t>
      </w:r>
    </w:p>
    <w:p w14:paraId="0E174ECD" w14:textId="77777777" w:rsidR="000C356F" w:rsidRDefault="000C356F" w:rsidP="000C356F">
      <w:r>
        <w:t xml:space="preserve">Et annet aktuelt innsparingstiltak vil være å se om vi kan utnytte arealene våre bedre og spare inn på husleiekostnadene. Årlig husleie for </w:t>
      </w:r>
      <w:proofErr w:type="spellStart"/>
      <w:r>
        <w:t>Helsam</w:t>
      </w:r>
      <w:proofErr w:type="spellEnd"/>
      <w:r>
        <w:t xml:space="preserve"> er 24,2 </w:t>
      </w:r>
      <w:proofErr w:type="spellStart"/>
      <w:r>
        <w:t>mill</w:t>
      </w:r>
      <w:proofErr w:type="spellEnd"/>
      <w:r>
        <w:rPr>
          <w:rStyle w:val="FootnoteReference"/>
        </w:rPr>
        <w:footnoteReference w:id="2"/>
      </w:r>
      <w:r>
        <w:t xml:space="preserve"> fordelt på</w:t>
      </w:r>
      <w:r w:rsidRPr="000C356F">
        <w:t xml:space="preserve"> </w:t>
      </w:r>
    </w:p>
    <w:p w14:paraId="2F36CFD0" w14:textId="77777777" w:rsidR="000C356F" w:rsidRDefault="000C356F" w:rsidP="009A2CB8">
      <w:pPr>
        <w:pStyle w:val="ListParagraph"/>
        <w:numPr>
          <w:ilvl w:val="0"/>
          <w:numId w:val="4"/>
        </w:numPr>
      </w:pPr>
      <w:r>
        <w:t xml:space="preserve">Harald Schjelderup hus; 6 </w:t>
      </w:r>
      <w:proofErr w:type="spellStart"/>
      <w:r>
        <w:t>mill</w:t>
      </w:r>
      <w:proofErr w:type="spellEnd"/>
    </w:p>
    <w:p w14:paraId="64CF2106" w14:textId="77777777" w:rsidR="000C356F" w:rsidRDefault="000C356F" w:rsidP="000C356F">
      <w:pPr>
        <w:pStyle w:val="ListParagraph"/>
        <w:numPr>
          <w:ilvl w:val="0"/>
          <w:numId w:val="4"/>
        </w:numPr>
      </w:pPr>
      <w:r>
        <w:t xml:space="preserve">Stjerneblokka; </w:t>
      </w:r>
      <w:r>
        <w:tab/>
        <w:t xml:space="preserve">3,3 </w:t>
      </w:r>
      <w:proofErr w:type="spellStart"/>
      <w:r>
        <w:t>mill</w:t>
      </w:r>
      <w:proofErr w:type="spellEnd"/>
    </w:p>
    <w:p w14:paraId="7932C170" w14:textId="77777777" w:rsidR="000C356F" w:rsidRDefault="000C356F" w:rsidP="000C356F">
      <w:pPr>
        <w:pStyle w:val="ListParagraph"/>
        <w:numPr>
          <w:ilvl w:val="0"/>
          <w:numId w:val="4"/>
        </w:numPr>
      </w:pPr>
      <w:r>
        <w:t xml:space="preserve">Fredrik Holsts hus; 14,9 </w:t>
      </w:r>
      <w:proofErr w:type="spellStart"/>
      <w:r>
        <w:t>mill</w:t>
      </w:r>
      <w:proofErr w:type="spellEnd"/>
    </w:p>
    <w:p w14:paraId="2B33D2DC" w14:textId="77777777" w:rsidR="000C356F" w:rsidRDefault="000C356F" w:rsidP="000C356F">
      <w:r>
        <w:t xml:space="preserve">Det er ikke lagt inn noen forventning i prognosen om redusert husleie, men vi vil sette i gang et arbeid for å se nærmere på dette. </w:t>
      </w:r>
    </w:p>
    <w:p w14:paraId="7E2D0E6C" w14:textId="77777777" w:rsidR="00572559" w:rsidRPr="00A007EC" w:rsidRDefault="00572559" w:rsidP="000C356F"/>
    <w:sectPr w:rsidR="00572559" w:rsidRPr="00A007EC" w:rsidSect="002D5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D7D3" w14:textId="77777777" w:rsidR="00327BAB" w:rsidRDefault="00327BAB" w:rsidP="000E491C">
      <w:pPr>
        <w:spacing w:after="0" w:line="240" w:lineRule="auto"/>
      </w:pPr>
      <w:r>
        <w:separator/>
      </w:r>
    </w:p>
  </w:endnote>
  <w:endnote w:type="continuationSeparator" w:id="0">
    <w:p w14:paraId="7B8F6A47" w14:textId="77777777" w:rsidR="00327BAB" w:rsidRDefault="00327BAB" w:rsidP="000E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D4067" w14:textId="77777777" w:rsidR="00327BAB" w:rsidRDefault="00327BAB" w:rsidP="000E491C">
      <w:pPr>
        <w:spacing w:after="0" w:line="240" w:lineRule="auto"/>
      </w:pPr>
      <w:r>
        <w:separator/>
      </w:r>
    </w:p>
  </w:footnote>
  <w:footnote w:type="continuationSeparator" w:id="0">
    <w:p w14:paraId="7A8B393D" w14:textId="77777777" w:rsidR="00327BAB" w:rsidRDefault="00327BAB" w:rsidP="000E491C">
      <w:pPr>
        <w:spacing w:after="0" w:line="240" w:lineRule="auto"/>
      </w:pPr>
      <w:r>
        <w:continuationSeparator/>
      </w:r>
    </w:p>
  </w:footnote>
  <w:footnote w:id="1">
    <w:p w14:paraId="7D6F9424" w14:textId="77777777" w:rsidR="000E491C" w:rsidRDefault="000E491C">
      <w:pPr>
        <w:pStyle w:val="FootnoteText"/>
      </w:pPr>
      <w:r>
        <w:rPr>
          <w:rStyle w:val="FootnoteReference"/>
        </w:rPr>
        <w:footnoteRef/>
      </w:r>
      <w:r>
        <w:t xml:space="preserve"> Det er i tillegg budsjettert med </w:t>
      </w:r>
      <w:proofErr w:type="spellStart"/>
      <w:r>
        <w:t>ca</w:t>
      </w:r>
      <w:proofErr w:type="spellEnd"/>
      <w:r>
        <w:t xml:space="preserve"> 110’ i timelønn som bruk av stimuleringsmidler for et ERC-prosjekt. </w:t>
      </w:r>
    </w:p>
  </w:footnote>
  <w:footnote w:id="2">
    <w:p w14:paraId="3C9316A0" w14:textId="652BB61D" w:rsidR="000C356F" w:rsidRDefault="000C356F">
      <w:pPr>
        <w:pStyle w:val="FootnoteText"/>
      </w:pPr>
      <w:r>
        <w:rPr>
          <w:rStyle w:val="FootnoteReference"/>
        </w:rPr>
        <w:footnoteRef/>
      </w:r>
      <w:r>
        <w:t xml:space="preserve"> Husleiekostnadene ligger budsjettert og regnskapsført på fakultetsnivå, men innføring av ny husleiemodell ved UiO legger opp til at innsparinger eller økte kostnader belastes lokalt. </w:t>
      </w:r>
      <w:proofErr w:type="spellStart"/>
      <w:r>
        <w:t>Helsam</w:t>
      </w:r>
      <w:proofErr w:type="spellEnd"/>
      <w:r>
        <w:t xml:space="preserve"> disponerer også lokaler i Forskningsveien 2B og Bygg20 på </w:t>
      </w:r>
      <w:r w:rsidR="00FF4243">
        <w:t>Gaustad</w:t>
      </w:r>
      <w:r>
        <w:t xml:space="preserve">, men betaler ikke husleie for disse arealene.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520D95"/>
    <w:multiLevelType w:val="hybridMultilevel"/>
    <w:tmpl w:val="659EC27C"/>
    <w:lvl w:ilvl="0" w:tplc="BEDCAFF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5175F8"/>
    <w:multiLevelType w:val="hybridMultilevel"/>
    <w:tmpl w:val="FA9A6B1A"/>
    <w:lvl w:ilvl="0" w:tplc="BEDCAFF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2D0B89"/>
    <w:multiLevelType w:val="hybridMultilevel"/>
    <w:tmpl w:val="9556A0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3D"/>
    <w:rsid w:val="000B2D76"/>
    <w:rsid w:val="000C32A3"/>
    <w:rsid w:val="000C356F"/>
    <w:rsid w:val="000E4384"/>
    <w:rsid w:val="000E491C"/>
    <w:rsid w:val="001B3598"/>
    <w:rsid w:val="001D6347"/>
    <w:rsid w:val="001E00D5"/>
    <w:rsid w:val="0026143D"/>
    <w:rsid w:val="00265D3D"/>
    <w:rsid w:val="002C11CC"/>
    <w:rsid w:val="002D534B"/>
    <w:rsid w:val="00327BAB"/>
    <w:rsid w:val="0038188F"/>
    <w:rsid w:val="003952E5"/>
    <w:rsid w:val="00433EE3"/>
    <w:rsid w:val="004925EA"/>
    <w:rsid w:val="004A4809"/>
    <w:rsid w:val="00542F66"/>
    <w:rsid w:val="00572559"/>
    <w:rsid w:val="005C6B37"/>
    <w:rsid w:val="005E5C7F"/>
    <w:rsid w:val="00624914"/>
    <w:rsid w:val="00717DEE"/>
    <w:rsid w:val="00864A60"/>
    <w:rsid w:val="008F7AD1"/>
    <w:rsid w:val="009903D9"/>
    <w:rsid w:val="009C2FF9"/>
    <w:rsid w:val="00A007EC"/>
    <w:rsid w:val="00A224B8"/>
    <w:rsid w:val="00A268F0"/>
    <w:rsid w:val="00A7062C"/>
    <w:rsid w:val="00AD248C"/>
    <w:rsid w:val="00AE6776"/>
    <w:rsid w:val="00BE3FEE"/>
    <w:rsid w:val="00C03C6C"/>
    <w:rsid w:val="00C50A3F"/>
    <w:rsid w:val="00C6713B"/>
    <w:rsid w:val="00CE2F94"/>
    <w:rsid w:val="00CF4B1E"/>
    <w:rsid w:val="00D52EB4"/>
    <w:rsid w:val="00D620BD"/>
    <w:rsid w:val="00DC0475"/>
    <w:rsid w:val="00E5487F"/>
    <w:rsid w:val="00EF2469"/>
    <w:rsid w:val="00F36303"/>
    <w:rsid w:val="00F76E45"/>
    <w:rsid w:val="00FC50F4"/>
    <w:rsid w:val="00FF42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1B74"/>
  <w15:docId w15:val="{8A4766C6-C6F9-43BB-B885-522B8AE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4B"/>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8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character" w:styleId="Hyperlink">
    <w:name w:val="Hyperlink"/>
    <w:basedOn w:val="DefaultParagraphFont"/>
    <w:uiPriority w:val="99"/>
    <w:unhideWhenUsed/>
    <w:rsid w:val="00433EE3"/>
    <w:rPr>
      <w:color w:val="0000FF" w:themeColor="hyperlink"/>
      <w:u w:val="single"/>
    </w:rPr>
  </w:style>
  <w:style w:type="character" w:customStyle="1" w:styleId="Heading3Char">
    <w:name w:val="Heading 3 Char"/>
    <w:basedOn w:val="DefaultParagraphFont"/>
    <w:link w:val="Heading3"/>
    <w:uiPriority w:val="9"/>
    <w:rsid w:val="004A4809"/>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0E4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91C"/>
    <w:rPr>
      <w:sz w:val="20"/>
      <w:szCs w:val="20"/>
    </w:rPr>
  </w:style>
  <w:style w:type="character" w:styleId="FootnoteReference">
    <w:name w:val="footnote reference"/>
    <w:basedOn w:val="DefaultParagraphFont"/>
    <w:uiPriority w:val="99"/>
    <w:semiHidden/>
    <w:unhideWhenUsed/>
    <w:rsid w:val="000E491C"/>
    <w:rPr>
      <w:vertAlign w:val="superscript"/>
    </w:rPr>
  </w:style>
  <w:style w:type="table" w:styleId="TableGrid">
    <w:name w:val="Table Grid"/>
    <w:basedOn w:val="TableNormal"/>
    <w:uiPriority w:val="59"/>
    <w:rsid w:val="00CE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D76"/>
    <w:rPr>
      <w:rFonts w:ascii="Segoe UI" w:hAnsi="Segoe UI" w:cs="Segoe UI"/>
      <w:sz w:val="18"/>
      <w:szCs w:val="18"/>
    </w:rPr>
  </w:style>
  <w:style w:type="character" w:styleId="CommentReference">
    <w:name w:val="annotation reference"/>
    <w:basedOn w:val="DefaultParagraphFont"/>
    <w:uiPriority w:val="99"/>
    <w:semiHidden/>
    <w:unhideWhenUsed/>
    <w:rsid w:val="00EF2469"/>
    <w:rPr>
      <w:sz w:val="16"/>
      <w:szCs w:val="16"/>
    </w:rPr>
  </w:style>
  <w:style w:type="paragraph" w:styleId="CommentText">
    <w:name w:val="annotation text"/>
    <w:basedOn w:val="Normal"/>
    <w:link w:val="CommentTextChar"/>
    <w:uiPriority w:val="99"/>
    <w:semiHidden/>
    <w:unhideWhenUsed/>
    <w:rsid w:val="00EF2469"/>
    <w:pPr>
      <w:spacing w:line="240" w:lineRule="auto"/>
    </w:pPr>
    <w:rPr>
      <w:sz w:val="20"/>
      <w:szCs w:val="20"/>
    </w:rPr>
  </w:style>
  <w:style w:type="character" w:customStyle="1" w:styleId="CommentTextChar">
    <w:name w:val="Comment Text Char"/>
    <w:basedOn w:val="DefaultParagraphFont"/>
    <w:link w:val="CommentText"/>
    <w:uiPriority w:val="99"/>
    <w:semiHidden/>
    <w:rsid w:val="00EF2469"/>
    <w:rPr>
      <w:sz w:val="20"/>
      <w:szCs w:val="20"/>
    </w:rPr>
  </w:style>
  <w:style w:type="paragraph" w:styleId="CommentSubject">
    <w:name w:val="annotation subject"/>
    <w:basedOn w:val="CommentText"/>
    <w:next w:val="CommentText"/>
    <w:link w:val="CommentSubjectChar"/>
    <w:uiPriority w:val="99"/>
    <w:semiHidden/>
    <w:unhideWhenUsed/>
    <w:rsid w:val="00EF2469"/>
    <w:rPr>
      <w:b/>
      <w:bCs/>
    </w:rPr>
  </w:style>
  <w:style w:type="character" w:customStyle="1" w:styleId="CommentSubjectChar">
    <w:name w:val="Comment Subject Char"/>
    <w:basedOn w:val="CommentTextChar"/>
    <w:link w:val="CommentSubject"/>
    <w:uiPriority w:val="99"/>
    <w:semiHidden/>
    <w:rsid w:val="00EF2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4288">
      <w:bodyDiv w:val="1"/>
      <w:marLeft w:val="0"/>
      <w:marRight w:val="0"/>
      <w:marTop w:val="0"/>
      <w:marBottom w:val="0"/>
      <w:divBdr>
        <w:top w:val="none" w:sz="0" w:space="0" w:color="auto"/>
        <w:left w:val="none" w:sz="0" w:space="0" w:color="auto"/>
        <w:bottom w:val="none" w:sz="0" w:space="0" w:color="auto"/>
        <w:right w:val="none" w:sz="0" w:space="0" w:color="auto"/>
      </w:divBdr>
    </w:div>
    <w:div w:id="921643346">
      <w:bodyDiv w:val="1"/>
      <w:marLeft w:val="0"/>
      <w:marRight w:val="0"/>
      <w:marTop w:val="0"/>
      <w:marBottom w:val="0"/>
      <w:divBdr>
        <w:top w:val="none" w:sz="0" w:space="0" w:color="auto"/>
        <w:left w:val="none" w:sz="0" w:space="0" w:color="auto"/>
        <w:bottom w:val="none" w:sz="0" w:space="0" w:color="auto"/>
        <w:right w:val="none" w:sz="0" w:space="0" w:color="auto"/>
      </w:divBdr>
    </w:div>
    <w:div w:id="1329671888">
      <w:bodyDiv w:val="1"/>
      <w:marLeft w:val="0"/>
      <w:marRight w:val="0"/>
      <w:marTop w:val="0"/>
      <w:marBottom w:val="0"/>
      <w:divBdr>
        <w:top w:val="none" w:sz="0" w:space="0" w:color="auto"/>
        <w:left w:val="none" w:sz="0" w:space="0" w:color="auto"/>
        <w:bottom w:val="none" w:sz="0" w:space="0" w:color="auto"/>
        <w:right w:val="none" w:sz="0" w:space="0" w:color="auto"/>
      </w:divBdr>
    </w:div>
    <w:div w:id="1365137633">
      <w:bodyDiv w:val="1"/>
      <w:marLeft w:val="0"/>
      <w:marRight w:val="0"/>
      <w:marTop w:val="0"/>
      <w:marBottom w:val="0"/>
      <w:divBdr>
        <w:top w:val="none" w:sz="0" w:space="0" w:color="auto"/>
        <w:left w:val="none" w:sz="0" w:space="0" w:color="auto"/>
        <w:bottom w:val="none" w:sz="0" w:space="0" w:color="auto"/>
        <w:right w:val="none" w:sz="0" w:space="0" w:color="auto"/>
      </w:divBdr>
    </w:div>
    <w:div w:id="20137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uio.no/helsam/om/organisasjon/radet/2019/06_26nov/disponeringsskriv.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Tore Stokke</dc:creator>
  <cp:lastModifiedBy>Knut Tore Stokke</cp:lastModifiedBy>
  <cp:revision>3</cp:revision>
  <dcterms:created xsi:type="dcterms:W3CDTF">2019-11-22T12:11:00Z</dcterms:created>
  <dcterms:modified xsi:type="dcterms:W3CDTF">2019-11-22T13:07:00Z</dcterms:modified>
</cp:coreProperties>
</file>