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80"/>
        <w:gridCol w:w="1560"/>
        <w:gridCol w:w="1800"/>
        <w:gridCol w:w="1163"/>
        <w:gridCol w:w="1098"/>
      </w:tblGrid>
      <w:tr w:rsidR="007F4585" w:rsidRPr="00866FA5" w14:paraId="70AA3EFA" w14:textId="77777777" w:rsidTr="007900E4">
        <w:tc>
          <w:tcPr>
            <w:tcW w:w="2268" w:type="dxa"/>
          </w:tcPr>
          <w:p w14:paraId="44D72DE6" w14:textId="77777777" w:rsidR="007F4585" w:rsidRPr="00866FA5" w:rsidRDefault="007F4585" w:rsidP="007900E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Rapporterende enhet:</w:t>
            </w:r>
          </w:p>
        </w:tc>
        <w:tc>
          <w:tcPr>
            <w:tcW w:w="1680" w:type="dxa"/>
          </w:tcPr>
          <w:p w14:paraId="0E089FC2" w14:textId="77777777" w:rsidR="007F4585" w:rsidRPr="00866FA5" w:rsidRDefault="007F4585" w:rsidP="007900E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proofErr w:type="spellStart"/>
            <w:r>
              <w:rPr>
                <w:rFonts w:ascii="Georgia" w:hAnsi="Georgia"/>
                <w:b/>
                <w:bCs/>
                <w:color w:val="365F91"/>
                <w:sz w:val="16"/>
              </w:rPr>
              <w:t>Helsam</w:t>
            </w:r>
            <w:proofErr w:type="spellEnd"/>
          </w:p>
        </w:tc>
        <w:tc>
          <w:tcPr>
            <w:tcW w:w="1560" w:type="dxa"/>
          </w:tcPr>
          <w:p w14:paraId="7BE588B9" w14:textId="77777777" w:rsidR="007F4585" w:rsidRPr="00866FA5" w:rsidRDefault="007F4585" w:rsidP="007900E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Rapportert av:</w:t>
            </w:r>
          </w:p>
        </w:tc>
        <w:tc>
          <w:tcPr>
            <w:tcW w:w="1800" w:type="dxa"/>
          </w:tcPr>
          <w:p w14:paraId="2FBB2AB4" w14:textId="77777777" w:rsidR="007F4585" w:rsidRDefault="007F4585" w:rsidP="007900E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Terje P. Hagen</w:t>
            </w:r>
          </w:p>
          <w:p w14:paraId="3A61FADB" w14:textId="77777777" w:rsidR="007F4585" w:rsidRPr="00866FA5" w:rsidRDefault="007F4585" w:rsidP="007900E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Knut Tore Stokke</w:t>
            </w:r>
          </w:p>
        </w:tc>
        <w:tc>
          <w:tcPr>
            <w:tcW w:w="1163" w:type="dxa"/>
          </w:tcPr>
          <w:p w14:paraId="5BE177A0" w14:textId="77777777" w:rsidR="007F4585" w:rsidRDefault="007F4585" w:rsidP="007900E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Periode:</w:t>
            </w:r>
            <w:r>
              <w:rPr>
                <w:rFonts w:ascii="Georgia" w:hAnsi="Georgia"/>
                <w:b/>
                <w:bCs/>
                <w:color w:val="365F91"/>
                <w:sz w:val="16"/>
              </w:rPr>
              <w:t xml:space="preserve"> </w:t>
            </w:r>
          </w:p>
          <w:p w14:paraId="73B72DAF" w14:textId="77777777" w:rsidR="007F4585" w:rsidRPr="00866FA5" w:rsidRDefault="007F4585" w:rsidP="007900E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T2– 2021</w:t>
            </w:r>
          </w:p>
        </w:tc>
        <w:tc>
          <w:tcPr>
            <w:tcW w:w="1098" w:type="dxa"/>
          </w:tcPr>
          <w:p w14:paraId="55607661" w14:textId="77777777" w:rsidR="007F4585" w:rsidRPr="00866FA5" w:rsidRDefault="007F4585" w:rsidP="007900E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</w:tr>
    </w:tbl>
    <w:p w14:paraId="4E3EF18F" w14:textId="77777777" w:rsidR="007F4585" w:rsidRDefault="007F4585" w:rsidP="007F4585">
      <w:pPr>
        <w:pStyle w:val="Heading1"/>
        <w:spacing w:before="240"/>
        <w:rPr>
          <w:rFonts w:ascii="Georgia" w:hAnsi="Georgia"/>
          <w:lang w:val="nb-NO"/>
        </w:rPr>
      </w:pPr>
      <w:r>
        <w:rPr>
          <w:rFonts w:ascii="Georgia" w:hAnsi="Georgia"/>
          <w:lang w:val="nb-NO"/>
        </w:rPr>
        <w:t xml:space="preserve">Økonomirapport </w:t>
      </w:r>
      <w:proofErr w:type="spellStart"/>
      <w:r>
        <w:rPr>
          <w:rFonts w:ascii="Georgia" w:hAnsi="Georgia"/>
          <w:lang w:val="nb-NO"/>
        </w:rPr>
        <w:t>Helsam</w:t>
      </w:r>
      <w:proofErr w:type="spellEnd"/>
      <w:r>
        <w:rPr>
          <w:rFonts w:ascii="Georgia" w:hAnsi="Georgia"/>
          <w:lang w:val="nb-NO"/>
        </w:rPr>
        <w:t xml:space="preserve"> T2 2021</w:t>
      </w:r>
    </w:p>
    <w:p w14:paraId="5FC5D4C9" w14:textId="77777777" w:rsidR="007F4585" w:rsidRDefault="007F4585" w:rsidP="007F4585">
      <w:proofErr w:type="spellStart"/>
      <w:r>
        <w:t>Helsam</w:t>
      </w:r>
      <w:proofErr w:type="spellEnd"/>
      <w:r>
        <w:t xml:space="preserve"> har ved utgangen av T2 2021 en noe svakere oversikt og kontroll med den økonomiske situasjonen enn normalt. Det skyldes overgangen til nye økonomi- og lønnssystemer ved UiO, og utgjør for øyeblikket den største usikkerhetsfaktoren i økonomien vår. </w:t>
      </w:r>
    </w:p>
    <w:p w14:paraId="43811B0E" w14:textId="77777777" w:rsidR="007F4585" w:rsidRDefault="007F4585" w:rsidP="007F4585"/>
    <w:p w14:paraId="4AF7C17A" w14:textId="20EBB737" w:rsidR="007F4585" w:rsidRDefault="007F4585" w:rsidP="007F4585">
      <w:r>
        <w:t>For bevilgningsøkonomien så er inntektene som forventet. Personalkostnadene er noe høyere enn budsjettert</w:t>
      </w:r>
      <w:r w:rsidR="00440187">
        <w:t xml:space="preserve"> hittil i år og vi forventer i prognosen at personalkostandene vil bli </w:t>
      </w:r>
      <w:proofErr w:type="spellStart"/>
      <w:r w:rsidR="00440187">
        <w:t>ca</w:t>
      </w:r>
      <w:proofErr w:type="spellEnd"/>
      <w:r w:rsidR="00440187">
        <w:t xml:space="preserve"> 5 </w:t>
      </w:r>
      <w:proofErr w:type="spellStart"/>
      <w:r w:rsidR="00440187">
        <w:t>mill</w:t>
      </w:r>
      <w:proofErr w:type="spellEnd"/>
      <w:r w:rsidR="00440187">
        <w:t xml:space="preserve"> høyere enn budsjettert.</w:t>
      </w:r>
      <w:r>
        <w:t xml:space="preserve"> Utbetalingen av kompensasjon for bruk av hjemmekontor på </w:t>
      </w:r>
      <w:proofErr w:type="spellStart"/>
      <w:r>
        <w:t>ca</w:t>
      </w:r>
      <w:proofErr w:type="spellEnd"/>
      <w:r>
        <w:t xml:space="preserve"> 1,8 </w:t>
      </w:r>
      <w:proofErr w:type="spellStart"/>
      <w:r>
        <w:t>mill</w:t>
      </w:r>
      <w:proofErr w:type="spellEnd"/>
      <w:r>
        <w:t xml:space="preserve"> </w:t>
      </w:r>
      <w:r w:rsidR="00440187">
        <w:t>utgjør</w:t>
      </w:r>
      <w:r>
        <w:t xml:space="preserve"> det største avviket</w:t>
      </w:r>
      <w:r w:rsidR="00440187">
        <w:t>, men vi ser også at noen nødvendig engasjement for å ivareta akutte undervisningsoppgaver har bidratt til å øke kostnadene</w:t>
      </w:r>
      <w:r>
        <w:t>. Overgangen til nye systemer har også bidratt til at noen ansattes lønn er feilpostert. Det er gjort en manuell jobb med å rette opp i dette</w:t>
      </w:r>
      <w:r w:rsidR="00440187">
        <w:t xml:space="preserve"> og disse justeringene er innarbeidet i ny </w:t>
      </w:r>
      <w:proofErr w:type="spellStart"/>
      <w:r w:rsidR="00440187">
        <w:t>årsprognose</w:t>
      </w:r>
      <w:proofErr w:type="spellEnd"/>
      <w:r>
        <w:t xml:space="preserve">. </w:t>
      </w:r>
    </w:p>
    <w:p w14:paraId="1DC6338C" w14:textId="77777777" w:rsidR="007F4585" w:rsidRDefault="007F4585" w:rsidP="007F4585"/>
    <w:p w14:paraId="57B44D9C" w14:textId="7638A661" w:rsidR="007F4585" w:rsidRDefault="007F4585" w:rsidP="007F4585">
      <w:r>
        <w:t xml:space="preserve">Driftskostnadene er som ved T1 vesentlig lavere enn budsjettert. Det er særlig store avvik i bruken av midler til faglig drift ut hos enkeltansatte og i grupper/avdelinger. Dette skyldes i stor grad de begrensinger som følger av pandemien. Vi </w:t>
      </w:r>
      <w:r w:rsidR="00440187">
        <w:t xml:space="preserve">har lagt til grunn i </w:t>
      </w:r>
      <w:proofErr w:type="spellStart"/>
      <w:r w:rsidR="00440187">
        <w:t>årsprognosen</w:t>
      </w:r>
      <w:proofErr w:type="spellEnd"/>
      <w:r w:rsidR="00440187">
        <w:t xml:space="preserve"> at driftskostnadene vil bli </w:t>
      </w:r>
      <w:proofErr w:type="spellStart"/>
      <w:r w:rsidR="00440187">
        <w:t>ca</w:t>
      </w:r>
      <w:proofErr w:type="spellEnd"/>
      <w:r w:rsidR="00440187">
        <w:t xml:space="preserve"> 4 </w:t>
      </w:r>
      <w:proofErr w:type="spellStart"/>
      <w:r w:rsidR="00440187">
        <w:t>mill</w:t>
      </w:r>
      <w:proofErr w:type="spellEnd"/>
      <w:r w:rsidR="00440187">
        <w:t xml:space="preserve"> lavere enn budsjettert. </w:t>
      </w:r>
      <w:r>
        <w:t xml:space="preserve"> </w:t>
      </w:r>
    </w:p>
    <w:p w14:paraId="3B124C03" w14:textId="77777777" w:rsidR="007F4585" w:rsidRDefault="007F4585" w:rsidP="007F4585"/>
    <w:p w14:paraId="47FAEFF9" w14:textId="41EDD140" w:rsidR="007F4585" w:rsidRDefault="007F4585" w:rsidP="007F4585">
      <w:r>
        <w:t xml:space="preserve">Investeringskostnadene er noe høyere enn budsjettert. Det er to forklaringer på dette: Vi har måttet skifte en del møbler og oppgradere lys/elektrisitet i forbindelse med interne flytteprosesser. Kravet til bruk av hjemmekontor og den medførende økte digitaliseringen av så vel undervisning som møter og forskning har gjort at det er kjøpt mer IT-utstyr enn budsjettert. Begge deler var kjent ved budsjettering og budsjettet for inneværende år var satt høyere enn fjoråret, men vi ser likevel behov for å justere prognosen </w:t>
      </w:r>
      <w:r w:rsidR="009C02A7">
        <w:t xml:space="preserve">opp med </w:t>
      </w:r>
      <w:proofErr w:type="spellStart"/>
      <w:r w:rsidR="009C02A7">
        <w:t>ca</w:t>
      </w:r>
      <w:proofErr w:type="spellEnd"/>
      <w:r w:rsidR="009C02A7">
        <w:t xml:space="preserve"> 0,5 mill.</w:t>
      </w:r>
      <w:r>
        <w:t xml:space="preserve"> En vesentlig driver for kostnader i T3 vil være en nødvendig oppgradering av møterom for å muliggjøre hybride møter. </w:t>
      </w:r>
    </w:p>
    <w:p w14:paraId="00D4F7FB" w14:textId="77777777" w:rsidR="007F4585" w:rsidRDefault="007F4585" w:rsidP="007F4585"/>
    <w:p w14:paraId="053A0778" w14:textId="38DB828F" w:rsidR="007F4585" w:rsidRDefault="007F4585" w:rsidP="007F4585">
      <w:r>
        <w:t xml:space="preserve">Nettobidraget fra </w:t>
      </w:r>
      <w:r w:rsidR="009C02A7">
        <w:t xml:space="preserve">BOA-økonomien forventes å bli </w:t>
      </w:r>
      <w:proofErr w:type="spellStart"/>
      <w:r w:rsidR="009C02A7">
        <w:t>ca</w:t>
      </w:r>
      <w:proofErr w:type="spellEnd"/>
      <w:r w:rsidR="009C02A7">
        <w:t xml:space="preserve"> 4 </w:t>
      </w:r>
      <w:proofErr w:type="spellStart"/>
      <w:r w:rsidR="009C02A7">
        <w:t>mill</w:t>
      </w:r>
      <w:proofErr w:type="spellEnd"/>
      <w:r w:rsidR="009C02A7">
        <w:t xml:space="preserve"> lavere enn budsjettert.</w:t>
      </w:r>
      <w:r>
        <w:t xml:space="preserve"> Som tidligere rapportert så innebærer svingninger i nettobidraget et vesentlig usikkerhetsmoment for bevilgningsøkonomien til instituttet. For T2 så har også konverteringen av prosjektporteføljen inn i nye systemer bidratt til at nettobidraget har endret seg. Den viktigste forklaringen er at vi har gått fra å beregne indirekte kostnader som en prosentsats pr prosjekt til en prosentsats pr ansatt i prosjektene.</w:t>
      </w:r>
      <w:r w:rsidR="009C02A7">
        <w:t xml:space="preserve"> Vi hadde også budsjettert med oppstart av </w:t>
      </w:r>
      <w:proofErr w:type="gramStart"/>
      <w:r w:rsidR="009C02A7">
        <w:t>et nytt større prosjektet</w:t>
      </w:r>
      <w:proofErr w:type="gramEnd"/>
      <w:r w:rsidR="009C02A7">
        <w:t xml:space="preserve"> knyttet til kapasitetsutvikling i Myanmar som ikke har kunnet starte på grunn av militærkupp i landet. I dette prosjektet lå det inne vesentlige frikjøp som ikke har blitt gjennomført. </w:t>
      </w:r>
    </w:p>
    <w:p w14:paraId="1E3D2B50" w14:textId="77777777" w:rsidR="007F4585" w:rsidRDefault="007F4585" w:rsidP="007F4585"/>
    <w:p w14:paraId="0DAE5E9C" w14:textId="0B1A52E4" w:rsidR="007F2568" w:rsidRDefault="007F2568" w:rsidP="007F2568">
      <w:pPr>
        <w:pStyle w:val="Heading2"/>
      </w:pPr>
      <w:r>
        <w:lastRenderedPageBreak/>
        <w:t xml:space="preserve">Bevilgningsøkonomien T2 </w:t>
      </w:r>
    </w:p>
    <w:p w14:paraId="1ABE00B1" w14:textId="7F5F7F94" w:rsidR="007F4585" w:rsidRDefault="007F4585" w:rsidP="007F2568">
      <w:pPr>
        <w:pStyle w:val="Heading2"/>
      </w:pPr>
      <w:r>
        <w:br/>
      </w:r>
      <w:r w:rsidR="007F2568">
        <w:rPr>
          <w:noProof/>
        </w:rPr>
        <w:drawing>
          <wp:inline distT="0" distB="0" distL="0" distR="0" wp14:anchorId="3FDBC94C" wp14:editId="2D45E0FF">
            <wp:extent cx="5731510" cy="21755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D43A2" w14:textId="77777777" w:rsidR="007F4585" w:rsidRDefault="007F4585" w:rsidP="007F4585"/>
    <w:p w14:paraId="7DEBD837" w14:textId="77777777" w:rsidR="00091E2C" w:rsidRDefault="00091E2C" w:rsidP="00091E2C">
      <w:r>
        <w:t>BOA-</w:t>
      </w:r>
      <w:proofErr w:type="gramStart"/>
      <w:r>
        <w:t>økonomien  går</w:t>
      </w:r>
      <w:proofErr w:type="gramEnd"/>
      <w:r>
        <w:t xml:space="preserve"> omtrent som forventet, men vi ser tegn til lavere aktivitet enn antatt gjennom at personalkostnadene er noe lavere enn budsjettert. Reduserte personalkostander påvirker også nettobidraget fra BOA til bevilgningsøkonomien. </w:t>
      </w:r>
    </w:p>
    <w:p w14:paraId="3ACCBB9E" w14:textId="77777777" w:rsidR="00091E2C" w:rsidRDefault="00091E2C" w:rsidP="00091E2C"/>
    <w:p w14:paraId="52B805BA" w14:textId="6C0E0587" w:rsidR="00091E2C" w:rsidRDefault="00091E2C" w:rsidP="00091E2C">
      <w:r>
        <w:t xml:space="preserve">Også i BOA-prosjektene så ser vi at det er vesentlig lavere driftskostnader enn forventet. Som for driftsmidlene i bevilgningsøkonomien så henger dette særlig sammen med begrensninger i mulighetene for reiser, datainnsamling og konferanser. Underforbruk på driftskostnader i prosjektene påvirker ikke nettobidraget. For noen prosjekter med varig reduksjon i bruken av driftsmidler </w:t>
      </w:r>
      <w:r w:rsidR="009C02A7">
        <w:t xml:space="preserve">kan det være </w:t>
      </w:r>
      <w:r>
        <w:t xml:space="preserve">aktuelt å søke omdisponering av driftsmidler til personalkostnader, men dette forutsetter som regel en eksplisitt godkjenning fra </w:t>
      </w:r>
      <w:proofErr w:type="spellStart"/>
      <w:r>
        <w:t>finansiør</w:t>
      </w:r>
      <w:proofErr w:type="spellEnd"/>
      <w:r>
        <w:t xml:space="preserve">. </w:t>
      </w:r>
    </w:p>
    <w:p w14:paraId="118857F6" w14:textId="77777777" w:rsidR="007F4585" w:rsidRDefault="007F4585" w:rsidP="007F4585"/>
    <w:p w14:paraId="36A339BE" w14:textId="77777777" w:rsidR="007F4585" w:rsidRDefault="007F4585" w:rsidP="007F4585"/>
    <w:p w14:paraId="2EEB0727" w14:textId="77777777" w:rsidR="007F4585" w:rsidRPr="00D175C3" w:rsidRDefault="007F4585" w:rsidP="007F4585"/>
    <w:p w14:paraId="097E2C27" w14:textId="77777777" w:rsidR="007F4585" w:rsidRPr="00D408B5" w:rsidRDefault="007F4585" w:rsidP="007F4585">
      <w:pPr>
        <w:pStyle w:val="Georgia11spacing10after"/>
        <w:spacing w:after="0"/>
        <w:rPr>
          <w:sz w:val="20"/>
          <w:szCs w:val="20"/>
          <w:highlight w:val="lightGray"/>
        </w:rPr>
      </w:pPr>
      <w:r w:rsidRPr="00D408B5">
        <w:rPr>
          <w:sz w:val="20"/>
          <w:szCs w:val="20"/>
          <w:highlight w:val="lightGray"/>
        </w:rPr>
        <w:t>[</w:t>
      </w:r>
      <w:proofErr w:type="spellStart"/>
      <w:r w:rsidRPr="00D408B5">
        <w:rPr>
          <w:sz w:val="20"/>
          <w:szCs w:val="20"/>
          <w:highlight w:val="lightGray"/>
        </w:rPr>
        <w:t>Rapporten</w:t>
      </w:r>
      <w:proofErr w:type="spellEnd"/>
      <w:r w:rsidRPr="00D408B5">
        <w:rPr>
          <w:sz w:val="20"/>
          <w:szCs w:val="20"/>
          <w:highlight w:val="lightGray"/>
        </w:rPr>
        <w:t xml:space="preserve"> </w:t>
      </w:r>
      <w:proofErr w:type="spellStart"/>
      <w:r w:rsidRPr="00D408B5">
        <w:rPr>
          <w:sz w:val="20"/>
          <w:szCs w:val="20"/>
          <w:highlight w:val="lightGray"/>
        </w:rPr>
        <w:t>skal</w:t>
      </w:r>
      <w:proofErr w:type="spellEnd"/>
      <w:r w:rsidRPr="00D408B5">
        <w:rPr>
          <w:sz w:val="20"/>
          <w:szCs w:val="20"/>
          <w:highlight w:val="lightGray"/>
        </w:rPr>
        <w:t xml:space="preserve"> </w:t>
      </w:r>
      <w:proofErr w:type="spellStart"/>
      <w:r w:rsidRPr="00D408B5">
        <w:rPr>
          <w:sz w:val="20"/>
          <w:szCs w:val="20"/>
          <w:highlight w:val="lightGray"/>
        </w:rPr>
        <w:t>vektlegge</w:t>
      </w:r>
      <w:proofErr w:type="spellEnd"/>
      <w:r w:rsidRPr="00D408B5">
        <w:rPr>
          <w:sz w:val="20"/>
          <w:szCs w:val="20"/>
          <w:highlight w:val="lightGray"/>
        </w:rPr>
        <w:t xml:space="preserve"> </w:t>
      </w:r>
      <w:proofErr w:type="spellStart"/>
      <w:r w:rsidRPr="00D408B5">
        <w:rPr>
          <w:sz w:val="20"/>
          <w:szCs w:val="20"/>
          <w:highlight w:val="lightGray"/>
        </w:rPr>
        <w:t>endringer</w:t>
      </w:r>
      <w:proofErr w:type="spellEnd"/>
      <w:r w:rsidRPr="00D408B5">
        <w:rPr>
          <w:sz w:val="20"/>
          <w:szCs w:val="20"/>
          <w:highlight w:val="lightGray"/>
        </w:rPr>
        <w:t xml:space="preserve"> i </w:t>
      </w:r>
      <w:proofErr w:type="spellStart"/>
      <w:r w:rsidRPr="00D408B5">
        <w:rPr>
          <w:sz w:val="20"/>
          <w:szCs w:val="20"/>
          <w:highlight w:val="lightGray"/>
        </w:rPr>
        <w:t>økonomisk</w:t>
      </w:r>
      <w:proofErr w:type="spellEnd"/>
      <w:r w:rsidRPr="00D408B5">
        <w:rPr>
          <w:sz w:val="20"/>
          <w:szCs w:val="20"/>
          <w:highlight w:val="lightGray"/>
        </w:rPr>
        <w:t xml:space="preserve"> </w:t>
      </w:r>
      <w:proofErr w:type="spellStart"/>
      <w:r w:rsidRPr="00D408B5">
        <w:rPr>
          <w:sz w:val="20"/>
          <w:szCs w:val="20"/>
          <w:highlight w:val="lightGray"/>
        </w:rPr>
        <w:t>utvikling</w:t>
      </w:r>
      <w:proofErr w:type="spellEnd"/>
      <w:r w:rsidRPr="00D408B5">
        <w:rPr>
          <w:sz w:val="20"/>
          <w:szCs w:val="20"/>
          <w:highlight w:val="lightGray"/>
        </w:rPr>
        <w:t xml:space="preserve"> </w:t>
      </w:r>
      <w:proofErr w:type="spellStart"/>
      <w:r w:rsidRPr="00D408B5">
        <w:rPr>
          <w:sz w:val="20"/>
          <w:szCs w:val="20"/>
          <w:highlight w:val="lightGray"/>
        </w:rPr>
        <w:t>siden</w:t>
      </w:r>
      <w:proofErr w:type="spellEnd"/>
      <w:r w:rsidRPr="00D408B5">
        <w:rPr>
          <w:sz w:val="20"/>
          <w:szCs w:val="20"/>
          <w:highlight w:val="lightGray"/>
        </w:rPr>
        <w:t xml:space="preserve"> </w:t>
      </w:r>
      <w:proofErr w:type="spellStart"/>
      <w:r w:rsidRPr="00D408B5">
        <w:rPr>
          <w:sz w:val="20"/>
          <w:szCs w:val="20"/>
          <w:highlight w:val="lightGray"/>
        </w:rPr>
        <w:t>forrige</w:t>
      </w:r>
      <w:proofErr w:type="spellEnd"/>
      <w:r w:rsidRPr="00D408B5">
        <w:rPr>
          <w:sz w:val="20"/>
          <w:szCs w:val="20"/>
          <w:highlight w:val="lightGray"/>
        </w:rPr>
        <w:t xml:space="preserve"> </w:t>
      </w:r>
      <w:proofErr w:type="spellStart"/>
      <w:r w:rsidRPr="00D408B5">
        <w:rPr>
          <w:sz w:val="20"/>
          <w:szCs w:val="20"/>
          <w:highlight w:val="lightGray"/>
        </w:rPr>
        <w:t>rapportering</w:t>
      </w:r>
      <w:proofErr w:type="spellEnd"/>
      <w:r w:rsidRPr="00D408B5">
        <w:rPr>
          <w:sz w:val="20"/>
          <w:szCs w:val="20"/>
          <w:highlight w:val="lightGray"/>
        </w:rPr>
        <w:t xml:space="preserve">.  Det </w:t>
      </w:r>
      <w:proofErr w:type="spellStart"/>
      <w:r w:rsidRPr="00D408B5">
        <w:rPr>
          <w:sz w:val="20"/>
          <w:szCs w:val="20"/>
          <w:highlight w:val="lightGray"/>
        </w:rPr>
        <w:t>bør</w:t>
      </w:r>
      <w:proofErr w:type="spellEnd"/>
      <w:r w:rsidRPr="00D408B5">
        <w:rPr>
          <w:sz w:val="20"/>
          <w:szCs w:val="20"/>
          <w:highlight w:val="lightGray"/>
        </w:rPr>
        <w:t xml:space="preserve"> </w:t>
      </w:r>
      <w:proofErr w:type="spellStart"/>
      <w:r w:rsidRPr="00D408B5">
        <w:rPr>
          <w:sz w:val="20"/>
          <w:szCs w:val="20"/>
          <w:highlight w:val="lightGray"/>
        </w:rPr>
        <w:t>spesielt</w:t>
      </w:r>
      <w:proofErr w:type="spellEnd"/>
      <w:r w:rsidRPr="00D408B5">
        <w:rPr>
          <w:sz w:val="20"/>
          <w:szCs w:val="20"/>
          <w:highlight w:val="lightGray"/>
        </w:rPr>
        <w:t xml:space="preserve"> </w:t>
      </w:r>
      <w:proofErr w:type="spellStart"/>
      <w:r w:rsidRPr="00D408B5">
        <w:rPr>
          <w:sz w:val="20"/>
          <w:szCs w:val="20"/>
          <w:highlight w:val="lightGray"/>
        </w:rPr>
        <w:t>legges</w:t>
      </w:r>
      <w:proofErr w:type="spellEnd"/>
      <w:r w:rsidRPr="00D408B5">
        <w:rPr>
          <w:sz w:val="20"/>
          <w:szCs w:val="20"/>
          <w:highlight w:val="lightGray"/>
        </w:rPr>
        <w:t xml:space="preserve"> </w:t>
      </w:r>
      <w:proofErr w:type="spellStart"/>
      <w:r w:rsidRPr="00D408B5">
        <w:rPr>
          <w:sz w:val="20"/>
          <w:szCs w:val="20"/>
          <w:highlight w:val="lightGray"/>
        </w:rPr>
        <w:t>vekt</w:t>
      </w:r>
      <w:proofErr w:type="spellEnd"/>
      <w:r w:rsidRPr="00D408B5">
        <w:rPr>
          <w:sz w:val="20"/>
          <w:szCs w:val="20"/>
          <w:highlight w:val="lightGray"/>
        </w:rPr>
        <w:t xml:space="preserve"> </w:t>
      </w:r>
      <w:proofErr w:type="spellStart"/>
      <w:r w:rsidRPr="00D408B5">
        <w:rPr>
          <w:sz w:val="20"/>
          <w:szCs w:val="20"/>
          <w:highlight w:val="lightGray"/>
        </w:rPr>
        <w:t>på</w:t>
      </w:r>
      <w:proofErr w:type="spellEnd"/>
      <w:r w:rsidRPr="00D408B5">
        <w:rPr>
          <w:sz w:val="20"/>
          <w:szCs w:val="20"/>
          <w:highlight w:val="lightGray"/>
        </w:rPr>
        <w:t xml:space="preserve"> forhold </w:t>
      </w:r>
      <w:proofErr w:type="spellStart"/>
      <w:r w:rsidRPr="00D408B5">
        <w:rPr>
          <w:sz w:val="20"/>
          <w:szCs w:val="20"/>
          <w:highlight w:val="lightGray"/>
        </w:rPr>
        <w:t>som</w:t>
      </w:r>
      <w:proofErr w:type="spellEnd"/>
      <w:r w:rsidRPr="00D408B5">
        <w:rPr>
          <w:sz w:val="20"/>
          <w:szCs w:val="20"/>
          <w:highlight w:val="lightGray"/>
        </w:rPr>
        <w:t xml:space="preserve"> er </w:t>
      </w:r>
      <w:proofErr w:type="spellStart"/>
      <w:r w:rsidRPr="00D408B5">
        <w:rPr>
          <w:sz w:val="20"/>
          <w:szCs w:val="20"/>
          <w:highlight w:val="lightGray"/>
        </w:rPr>
        <w:t>av</w:t>
      </w:r>
      <w:proofErr w:type="spellEnd"/>
      <w:r w:rsidRPr="00D408B5">
        <w:rPr>
          <w:sz w:val="20"/>
          <w:szCs w:val="20"/>
          <w:highlight w:val="lightGray"/>
        </w:rPr>
        <w:t xml:space="preserve"> </w:t>
      </w:r>
      <w:proofErr w:type="spellStart"/>
      <w:r w:rsidRPr="00D408B5">
        <w:rPr>
          <w:sz w:val="20"/>
          <w:szCs w:val="20"/>
          <w:highlight w:val="lightGray"/>
        </w:rPr>
        <w:t>vesentlig</w:t>
      </w:r>
      <w:proofErr w:type="spellEnd"/>
      <w:r w:rsidRPr="00D408B5">
        <w:rPr>
          <w:sz w:val="20"/>
          <w:szCs w:val="20"/>
          <w:highlight w:val="lightGray"/>
        </w:rPr>
        <w:t xml:space="preserve"> </w:t>
      </w:r>
      <w:proofErr w:type="spellStart"/>
      <w:r w:rsidRPr="00D408B5">
        <w:rPr>
          <w:sz w:val="20"/>
          <w:szCs w:val="20"/>
          <w:highlight w:val="lightGray"/>
        </w:rPr>
        <w:t>betydning</w:t>
      </w:r>
      <w:proofErr w:type="spellEnd"/>
      <w:r w:rsidRPr="00D408B5">
        <w:rPr>
          <w:sz w:val="20"/>
          <w:szCs w:val="20"/>
          <w:highlight w:val="lightGray"/>
        </w:rPr>
        <w:t xml:space="preserve"> for </w:t>
      </w:r>
      <w:proofErr w:type="spellStart"/>
      <w:r w:rsidRPr="00D408B5">
        <w:rPr>
          <w:sz w:val="20"/>
          <w:szCs w:val="20"/>
          <w:highlight w:val="lightGray"/>
        </w:rPr>
        <w:t>enhetens</w:t>
      </w:r>
      <w:proofErr w:type="spellEnd"/>
      <w:r w:rsidRPr="00D408B5">
        <w:rPr>
          <w:sz w:val="20"/>
          <w:szCs w:val="20"/>
          <w:highlight w:val="lightGray"/>
        </w:rPr>
        <w:t xml:space="preserve"> </w:t>
      </w:r>
      <w:proofErr w:type="spellStart"/>
      <w:r w:rsidRPr="00D408B5">
        <w:rPr>
          <w:sz w:val="20"/>
          <w:szCs w:val="20"/>
          <w:highlight w:val="lightGray"/>
        </w:rPr>
        <w:t>handlingsrom</w:t>
      </w:r>
      <w:proofErr w:type="spellEnd"/>
      <w:r w:rsidRPr="00D408B5">
        <w:rPr>
          <w:sz w:val="20"/>
          <w:szCs w:val="20"/>
          <w:highlight w:val="lightGray"/>
        </w:rPr>
        <w:t xml:space="preserve"> og </w:t>
      </w:r>
      <w:proofErr w:type="spellStart"/>
      <w:r w:rsidRPr="00D408B5">
        <w:rPr>
          <w:sz w:val="20"/>
          <w:szCs w:val="20"/>
          <w:highlight w:val="lightGray"/>
        </w:rPr>
        <w:t>økonomisk</w:t>
      </w:r>
      <w:proofErr w:type="spellEnd"/>
      <w:r w:rsidRPr="00D408B5">
        <w:rPr>
          <w:sz w:val="20"/>
          <w:szCs w:val="20"/>
          <w:highlight w:val="lightGray"/>
        </w:rPr>
        <w:t xml:space="preserve"> </w:t>
      </w:r>
      <w:proofErr w:type="spellStart"/>
      <w:r w:rsidRPr="00D408B5">
        <w:rPr>
          <w:sz w:val="20"/>
          <w:szCs w:val="20"/>
          <w:highlight w:val="lightGray"/>
        </w:rPr>
        <w:t>risiko</w:t>
      </w:r>
      <w:proofErr w:type="spellEnd"/>
      <w:r w:rsidRPr="00D408B5">
        <w:rPr>
          <w:sz w:val="20"/>
          <w:szCs w:val="20"/>
          <w:highlight w:val="lightGray"/>
        </w:rPr>
        <w:t xml:space="preserve">, og </w:t>
      </w:r>
      <w:proofErr w:type="spellStart"/>
      <w:r w:rsidRPr="00D408B5">
        <w:rPr>
          <w:sz w:val="20"/>
          <w:szCs w:val="20"/>
          <w:highlight w:val="lightGray"/>
        </w:rPr>
        <w:t>dette</w:t>
      </w:r>
      <w:proofErr w:type="spellEnd"/>
      <w:r w:rsidRPr="00D408B5">
        <w:rPr>
          <w:sz w:val="20"/>
          <w:szCs w:val="20"/>
          <w:highlight w:val="lightGray"/>
        </w:rPr>
        <w:t xml:space="preserve"> </w:t>
      </w:r>
      <w:proofErr w:type="spellStart"/>
      <w:r w:rsidRPr="00D408B5">
        <w:rPr>
          <w:sz w:val="20"/>
          <w:szCs w:val="20"/>
          <w:highlight w:val="lightGray"/>
        </w:rPr>
        <w:t>bør</w:t>
      </w:r>
      <w:proofErr w:type="spellEnd"/>
      <w:r w:rsidRPr="00D408B5">
        <w:rPr>
          <w:sz w:val="20"/>
          <w:szCs w:val="20"/>
          <w:highlight w:val="lightGray"/>
        </w:rPr>
        <w:t xml:space="preserve"> </w:t>
      </w:r>
      <w:proofErr w:type="spellStart"/>
      <w:r w:rsidRPr="00D408B5">
        <w:rPr>
          <w:sz w:val="20"/>
          <w:szCs w:val="20"/>
          <w:highlight w:val="lightGray"/>
        </w:rPr>
        <w:t>ses</w:t>
      </w:r>
      <w:proofErr w:type="spellEnd"/>
      <w:r w:rsidRPr="00D408B5">
        <w:rPr>
          <w:sz w:val="20"/>
          <w:szCs w:val="20"/>
          <w:highlight w:val="lightGray"/>
        </w:rPr>
        <w:t xml:space="preserve"> i </w:t>
      </w:r>
      <w:proofErr w:type="spellStart"/>
      <w:r w:rsidRPr="00D408B5">
        <w:rPr>
          <w:sz w:val="20"/>
          <w:szCs w:val="20"/>
          <w:highlight w:val="lightGray"/>
        </w:rPr>
        <w:t>sammenheng</w:t>
      </w:r>
      <w:proofErr w:type="spellEnd"/>
      <w:r w:rsidRPr="00D408B5">
        <w:rPr>
          <w:sz w:val="20"/>
          <w:szCs w:val="20"/>
          <w:highlight w:val="lightGray"/>
        </w:rPr>
        <w:t xml:space="preserve"> med </w:t>
      </w:r>
      <w:proofErr w:type="spellStart"/>
      <w:r w:rsidRPr="00D408B5">
        <w:rPr>
          <w:sz w:val="20"/>
          <w:szCs w:val="20"/>
          <w:highlight w:val="lightGray"/>
        </w:rPr>
        <w:t>enhetens</w:t>
      </w:r>
      <w:proofErr w:type="spellEnd"/>
      <w:r w:rsidRPr="00D408B5">
        <w:rPr>
          <w:sz w:val="20"/>
          <w:szCs w:val="20"/>
          <w:highlight w:val="lightGray"/>
        </w:rPr>
        <w:t xml:space="preserve"> prognose.</w:t>
      </w:r>
    </w:p>
    <w:p w14:paraId="4870847F" w14:textId="77777777" w:rsidR="007F4585" w:rsidRPr="00D408B5" w:rsidRDefault="007F4585" w:rsidP="007F4585">
      <w:pPr>
        <w:pStyle w:val="Georgia11spacing10after"/>
        <w:spacing w:after="0"/>
        <w:rPr>
          <w:sz w:val="20"/>
          <w:szCs w:val="20"/>
          <w:highlight w:val="lightGray"/>
        </w:rPr>
      </w:pPr>
    </w:p>
    <w:p w14:paraId="1F97DC0C" w14:textId="77777777" w:rsidR="007F4585" w:rsidRDefault="007F4585" w:rsidP="007F4585">
      <w:pPr>
        <w:pStyle w:val="Georgia11spacing10after"/>
        <w:spacing w:after="0"/>
        <w:rPr>
          <w:sz w:val="20"/>
        </w:rPr>
      </w:pPr>
      <w:proofErr w:type="spellStart"/>
      <w:r w:rsidRPr="00D408B5">
        <w:rPr>
          <w:sz w:val="20"/>
          <w:highlight w:val="lightGray"/>
        </w:rPr>
        <w:t>Følgende</w:t>
      </w:r>
      <w:proofErr w:type="spellEnd"/>
      <w:r w:rsidRPr="00D408B5">
        <w:rPr>
          <w:sz w:val="20"/>
          <w:highlight w:val="lightGray"/>
        </w:rPr>
        <w:t xml:space="preserve"> «</w:t>
      </w:r>
      <w:proofErr w:type="spellStart"/>
      <w:r w:rsidRPr="00D408B5">
        <w:rPr>
          <w:sz w:val="20"/>
          <w:highlight w:val="lightGray"/>
        </w:rPr>
        <w:t>Standardtabell</w:t>
      </w:r>
      <w:proofErr w:type="spellEnd"/>
      <w:r w:rsidRPr="00D408B5">
        <w:rPr>
          <w:sz w:val="20"/>
          <w:highlight w:val="lightGray"/>
        </w:rPr>
        <w:t xml:space="preserve"> for </w:t>
      </w:r>
      <w:proofErr w:type="spellStart"/>
      <w:r w:rsidRPr="00D408B5">
        <w:rPr>
          <w:sz w:val="20"/>
          <w:highlight w:val="lightGray"/>
        </w:rPr>
        <w:t>økonomisk</w:t>
      </w:r>
      <w:proofErr w:type="spellEnd"/>
      <w:r w:rsidRPr="00D408B5">
        <w:rPr>
          <w:sz w:val="20"/>
          <w:highlight w:val="lightGray"/>
        </w:rPr>
        <w:t xml:space="preserve"> </w:t>
      </w:r>
      <w:proofErr w:type="spellStart"/>
      <w:r w:rsidRPr="00D408B5">
        <w:rPr>
          <w:sz w:val="20"/>
          <w:highlight w:val="lightGray"/>
        </w:rPr>
        <w:t>utvikling</w:t>
      </w:r>
      <w:proofErr w:type="spellEnd"/>
      <w:r w:rsidRPr="00D408B5">
        <w:rPr>
          <w:sz w:val="20"/>
          <w:highlight w:val="lightGray"/>
        </w:rPr>
        <w:t xml:space="preserve">» </w:t>
      </w:r>
      <w:proofErr w:type="spellStart"/>
      <w:r w:rsidRPr="00D408B5">
        <w:rPr>
          <w:sz w:val="20"/>
          <w:highlight w:val="lightGray"/>
        </w:rPr>
        <w:t>skal</w:t>
      </w:r>
      <w:proofErr w:type="spellEnd"/>
      <w:r w:rsidRPr="00D408B5">
        <w:rPr>
          <w:sz w:val="20"/>
          <w:highlight w:val="lightGray"/>
        </w:rPr>
        <w:t xml:space="preserve"> </w:t>
      </w:r>
      <w:proofErr w:type="spellStart"/>
      <w:r w:rsidRPr="00D408B5">
        <w:rPr>
          <w:sz w:val="20"/>
          <w:highlight w:val="lightGray"/>
        </w:rPr>
        <w:t>inngå</w:t>
      </w:r>
      <w:proofErr w:type="spellEnd"/>
      <w:r w:rsidRPr="00D408B5">
        <w:rPr>
          <w:sz w:val="20"/>
          <w:highlight w:val="lightGray"/>
        </w:rPr>
        <w:t xml:space="preserve"> </w:t>
      </w:r>
      <w:proofErr w:type="spellStart"/>
      <w:r w:rsidRPr="00D408B5">
        <w:rPr>
          <w:sz w:val="20"/>
          <w:highlight w:val="lightGray"/>
        </w:rPr>
        <w:t>som</w:t>
      </w:r>
      <w:proofErr w:type="spellEnd"/>
      <w:r w:rsidRPr="00D408B5">
        <w:rPr>
          <w:sz w:val="20"/>
          <w:highlight w:val="lightGray"/>
        </w:rPr>
        <w:t xml:space="preserve"> del </w:t>
      </w:r>
      <w:proofErr w:type="spellStart"/>
      <w:r w:rsidRPr="00D408B5">
        <w:rPr>
          <w:sz w:val="20"/>
          <w:highlight w:val="lightGray"/>
        </w:rPr>
        <w:t>av</w:t>
      </w:r>
      <w:proofErr w:type="spellEnd"/>
      <w:r w:rsidRPr="00D408B5">
        <w:rPr>
          <w:sz w:val="20"/>
          <w:highlight w:val="lightGray"/>
        </w:rPr>
        <w:t xml:space="preserve"> </w:t>
      </w:r>
      <w:proofErr w:type="spellStart"/>
      <w:r w:rsidRPr="00D408B5">
        <w:rPr>
          <w:sz w:val="20"/>
          <w:highlight w:val="lightGray"/>
        </w:rPr>
        <w:t>ledelsesvurderingene</w:t>
      </w:r>
      <w:proofErr w:type="spellEnd"/>
      <w:r w:rsidRPr="00D408B5">
        <w:rPr>
          <w:sz w:val="20"/>
          <w:highlight w:val="lightGray"/>
        </w:rPr>
        <w:t xml:space="preserve"> .  </w:t>
      </w:r>
      <w:proofErr w:type="spellStart"/>
      <w:r w:rsidRPr="00D408B5">
        <w:rPr>
          <w:sz w:val="20"/>
          <w:highlight w:val="lightGray"/>
        </w:rPr>
        <w:t>Tabellen</w:t>
      </w:r>
      <w:proofErr w:type="spellEnd"/>
      <w:r w:rsidRPr="00D408B5">
        <w:rPr>
          <w:sz w:val="20"/>
          <w:highlight w:val="lightGray"/>
        </w:rPr>
        <w:t xml:space="preserve"> </w:t>
      </w:r>
      <w:proofErr w:type="spellStart"/>
      <w:r w:rsidRPr="00D408B5">
        <w:rPr>
          <w:sz w:val="20"/>
          <w:highlight w:val="lightGray"/>
        </w:rPr>
        <w:t>hentes</w:t>
      </w:r>
      <w:proofErr w:type="spellEnd"/>
      <w:r w:rsidRPr="00D408B5">
        <w:rPr>
          <w:sz w:val="20"/>
          <w:highlight w:val="lightGray"/>
        </w:rPr>
        <w:t xml:space="preserve"> </w:t>
      </w:r>
      <w:proofErr w:type="spellStart"/>
      <w:r w:rsidRPr="00D408B5">
        <w:rPr>
          <w:sz w:val="20"/>
          <w:highlight w:val="lightGray"/>
        </w:rPr>
        <w:t>ut</w:t>
      </w:r>
      <w:proofErr w:type="spellEnd"/>
      <w:r w:rsidRPr="00D408B5">
        <w:rPr>
          <w:sz w:val="20"/>
          <w:highlight w:val="lightGray"/>
        </w:rPr>
        <w:t xml:space="preserve"> </w:t>
      </w:r>
      <w:proofErr w:type="spellStart"/>
      <w:r w:rsidRPr="00D408B5">
        <w:rPr>
          <w:sz w:val="20"/>
          <w:highlight w:val="lightGray"/>
        </w:rPr>
        <w:t>fra</w:t>
      </w:r>
      <w:proofErr w:type="spellEnd"/>
      <w:r w:rsidRPr="00D408B5">
        <w:rPr>
          <w:sz w:val="20"/>
          <w:highlight w:val="lightGray"/>
        </w:rPr>
        <w:t xml:space="preserve"> </w:t>
      </w:r>
      <w:proofErr w:type="spellStart"/>
      <w:r w:rsidRPr="00D408B5">
        <w:rPr>
          <w:sz w:val="20"/>
          <w:highlight w:val="lightGray"/>
          <w:lang w:val="nb-NO"/>
        </w:rPr>
        <w:t>Tableau</w:t>
      </w:r>
      <w:proofErr w:type="spellEnd"/>
      <w:r w:rsidRPr="00D408B5">
        <w:rPr>
          <w:sz w:val="20"/>
          <w:highlight w:val="lightGray"/>
        </w:rPr>
        <w:t xml:space="preserve"> </w:t>
      </w:r>
      <w:proofErr w:type="spellStart"/>
      <w:r w:rsidRPr="00D408B5">
        <w:rPr>
          <w:sz w:val="20"/>
          <w:highlight w:val="lightGray"/>
        </w:rPr>
        <w:t>iht</w:t>
      </w:r>
      <w:proofErr w:type="spellEnd"/>
      <w:r w:rsidRPr="00D408B5">
        <w:rPr>
          <w:sz w:val="20"/>
          <w:highlight w:val="lightGray"/>
          <w:lang w:val="nb-NO"/>
        </w:rPr>
        <w:t>.</w:t>
      </w:r>
      <w:r w:rsidRPr="00D408B5">
        <w:rPr>
          <w:sz w:val="20"/>
          <w:highlight w:val="lightGray"/>
        </w:rPr>
        <w:t xml:space="preserve"> </w:t>
      </w:r>
      <w:proofErr w:type="spellStart"/>
      <w:r w:rsidRPr="00D408B5">
        <w:rPr>
          <w:sz w:val="20"/>
          <w:highlight w:val="lightGray"/>
        </w:rPr>
        <w:t>nærmere</w:t>
      </w:r>
      <w:proofErr w:type="spellEnd"/>
      <w:r w:rsidRPr="00D408B5">
        <w:rPr>
          <w:sz w:val="20"/>
          <w:highlight w:val="lightGray"/>
        </w:rPr>
        <w:t xml:space="preserve"> </w:t>
      </w:r>
      <w:proofErr w:type="spellStart"/>
      <w:r w:rsidRPr="00D408B5">
        <w:rPr>
          <w:sz w:val="20"/>
          <w:highlight w:val="lightGray"/>
        </w:rPr>
        <w:t>veiledning</w:t>
      </w:r>
      <w:proofErr w:type="spellEnd"/>
      <w:r w:rsidRPr="00D408B5">
        <w:rPr>
          <w:sz w:val="20"/>
          <w:highlight w:val="lightGray"/>
        </w:rPr>
        <w:t xml:space="preserve"> i e-post </w:t>
      </w:r>
      <w:proofErr w:type="spellStart"/>
      <w:r w:rsidRPr="00D408B5">
        <w:rPr>
          <w:sz w:val="20"/>
          <w:highlight w:val="lightGray"/>
        </w:rPr>
        <w:t>til</w:t>
      </w:r>
      <w:proofErr w:type="spellEnd"/>
      <w:r w:rsidRPr="00D408B5">
        <w:rPr>
          <w:sz w:val="20"/>
          <w:highlight w:val="lightGray"/>
        </w:rPr>
        <w:t xml:space="preserve"> </w:t>
      </w:r>
      <w:proofErr w:type="spellStart"/>
      <w:r w:rsidRPr="00D408B5">
        <w:rPr>
          <w:sz w:val="20"/>
          <w:highlight w:val="lightGray"/>
        </w:rPr>
        <w:t>økonomilederne</w:t>
      </w:r>
      <w:proofErr w:type="spellEnd"/>
      <w:r w:rsidRPr="00D408B5">
        <w:rPr>
          <w:sz w:val="20"/>
          <w:highlight w:val="lightGray"/>
        </w:rPr>
        <w:t>.]</w:t>
      </w:r>
    </w:p>
    <w:p w14:paraId="1FE17F05" w14:textId="77777777" w:rsidR="007F4585" w:rsidRDefault="007F4585" w:rsidP="007F4585">
      <w:pPr>
        <w:pStyle w:val="Georgia11spacing10after"/>
        <w:spacing w:after="0"/>
        <w:rPr>
          <w:sz w:val="20"/>
        </w:rPr>
      </w:pPr>
    </w:p>
    <w:p w14:paraId="28D2A14F" w14:textId="77777777" w:rsidR="007F4585" w:rsidRDefault="007F4585" w:rsidP="007F4585">
      <w:pPr>
        <w:pStyle w:val="Georgia11spacing10after"/>
        <w:spacing w:after="0"/>
        <w:rPr>
          <w:sz w:val="20"/>
        </w:rPr>
      </w:pPr>
    </w:p>
    <w:p w14:paraId="338319E8" w14:textId="77777777" w:rsidR="007F4585" w:rsidRDefault="007F4585" w:rsidP="007F4585">
      <w:pPr>
        <w:pStyle w:val="Georgia11spacing10after"/>
        <w:spacing w:after="0"/>
        <w:rPr>
          <w:sz w:val="20"/>
        </w:rPr>
      </w:pPr>
    </w:p>
    <w:p w14:paraId="4785BAB0" w14:textId="77777777" w:rsidR="007F4585" w:rsidRPr="00CF2294" w:rsidRDefault="007F4585" w:rsidP="007F4585">
      <w:pPr>
        <w:pStyle w:val="Georgia11spacing10after"/>
        <w:spacing w:after="0"/>
        <w:rPr>
          <w:sz w:val="20"/>
        </w:rPr>
      </w:pPr>
    </w:p>
    <w:p w14:paraId="7057D0DE" w14:textId="77777777" w:rsidR="007F4585" w:rsidRDefault="007F4585" w:rsidP="007F4585">
      <w:pPr>
        <w:rPr>
          <w:rFonts w:ascii="Georgia" w:hAnsi="Georgia"/>
          <w:b/>
          <w:sz w:val="20"/>
          <w:szCs w:val="20"/>
        </w:rPr>
      </w:pPr>
    </w:p>
    <w:p w14:paraId="3E0E0CF1" w14:textId="130CDBCE" w:rsidR="00A8526E" w:rsidRPr="007F4585" w:rsidRDefault="00A8526E" w:rsidP="007F4585"/>
    <w:sectPr w:rsidR="00A8526E" w:rsidRPr="007F4585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0E91E" w14:textId="77777777" w:rsidR="007A5617" w:rsidRDefault="007A5617" w:rsidP="007A5617">
      <w:r>
        <w:separator/>
      </w:r>
    </w:p>
  </w:endnote>
  <w:endnote w:type="continuationSeparator" w:id="0">
    <w:p w14:paraId="238D0609" w14:textId="77777777" w:rsidR="007A5617" w:rsidRDefault="007A5617" w:rsidP="007A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estor">
    <w:altName w:val="Quaest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2731456"/>
      <w:docPartObj>
        <w:docPartGallery w:val="Page Numbers (Bottom of Page)"/>
        <w:docPartUnique/>
      </w:docPartObj>
    </w:sdtPr>
    <w:sdtEndPr/>
    <w:sdtContent>
      <w:p w14:paraId="6E446C17" w14:textId="02AF92EC" w:rsidR="00286C6D" w:rsidRDefault="00286C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967">
          <w:rPr>
            <w:noProof/>
          </w:rPr>
          <w:t>1</w:t>
        </w:r>
        <w:r>
          <w:fldChar w:fldCharType="end"/>
        </w:r>
      </w:p>
    </w:sdtContent>
  </w:sdt>
  <w:p w14:paraId="51F39CCD" w14:textId="77777777" w:rsidR="00286C6D" w:rsidRDefault="00286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8653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EE5CF" w14:textId="77777777" w:rsidR="007A5617" w:rsidRDefault="007A5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12F01F" w14:textId="77777777" w:rsidR="007A5617" w:rsidRDefault="007A5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35F87" w14:textId="77777777" w:rsidR="007A5617" w:rsidRDefault="007A5617" w:rsidP="007A5617">
      <w:r>
        <w:separator/>
      </w:r>
    </w:p>
  </w:footnote>
  <w:footnote w:type="continuationSeparator" w:id="0">
    <w:p w14:paraId="39BCDCAD" w14:textId="77777777" w:rsidR="007A5617" w:rsidRDefault="007A5617" w:rsidP="007A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0191" w14:textId="77777777" w:rsidR="00244923" w:rsidRPr="007E7FF4" w:rsidRDefault="00307EED" w:rsidP="00244923">
    <w:pPr>
      <w:pStyle w:val="Header"/>
      <w:tabs>
        <w:tab w:val="clear" w:pos="8306"/>
        <w:tab w:val="left" w:pos="6534"/>
      </w:tabs>
      <w:ind w:right="120"/>
      <w:jc w:val="right"/>
      <w:rPr>
        <w:rFonts w:asciiTheme="majorHAnsi" w:eastAsia="MS Gothic" w:hAnsiTheme="majorHAnsi"/>
        <w:sz w:val="18"/>
        <w:szCs w:val="36"/>
      </w:rPr>
    </w:pPr>
    <w:r w:rsidRPr="007E7FF4">
      <w:rPr>
        <w:rFonts w:cs="Arial"/>
        <w:noProof/>
        <w:sz w:val="18"/>
        <w:lang w:eastAsia="nb-NO"/>
      </w:rPr>
      <w:drawing>
        <wp:anchor distT="0" distB="0" distL="114300" distR="114300" simplePos="0" relativeHeight="251659264" behindDoc="1" locked="1" layoutInCell="1" allowOverlap="1" wp14:anchorId="6D54E57D" wp14:editId="6CF4E98A">
          <wp:simplePos x="0" y="0"/>
          <wp:positionH relativeFrom="page">
            <wp:posOffset>934085</wp:posOffset>
          </wp:positionH>
          <wp:positionV relativeFrom="page">
            <wp:posOffset>480060</wp:posOffset>
          </wp:positionV>
          <wp:extent cx="561340" cy="182880"/>
          <wp:effectExtent l="0" t="0" r="0" b="7620"/>
          <wp:wrapNone/>
          <wp:docPr id="4" name="Picture 1" descr="Description: UiO_RED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iO_RED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18B">
      <w:rPr>
        <w:rFonts w:asciiTheme="majorHAnsi" w:eastAsia="MS Gothic" w:hAnsiTheme="majorHAnsi"/>
        <w:sz w:val="18"/>
        <w:szCs w:val="36"/>
      </w:rPr>
      <w:t>Økonomirapport</w:t>
    </w:r>
  </w:p>
  <w:p w14:paraId="1274D199" w14:textId="77777777" w:rsidR="007A5617" w:rsidRPr="005C07B5" w:rsidRDefault="007A5617" w:rsidP="00244923">
    <w:pPr>
      <w:pStyle w:val="Header"/>
      <w:tabs>
        <w:tab w:val="clear" w:pos="8306"/>
        <w:tab w:val="left" w:pos="6534"/>
      </w:tabs>
      <w:ind w:right="360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9AA"/>
    <w:multiLevelType w:val="hybridMultilevel"/>
    <w:tmpl w:val="5E208818"/>
    <w:lvl w:ilvl="0" w:tplc="F9409D8A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FE4"/>
    <w:multiLevelType w:val="hybridMultilevel"/>
    <w:tmpl w:val="016A8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B7E"/>
    <w:multiLevelType w:val="hybridMultilevel"/>
    <w:tmpl w:val="928EB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344"/>
    <w:multiLevelType w:val="hybridMultilevel"/>
    <w:tmpl w:val="1A36C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0763"/>
    <w:multiLevelType w:val="hybridMultilevel"/>
    <w:tmpl w:val="2BCED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3142"/>
    <w:multiLevelType w:val="hybridMultilevel"/>
    <w:tmpl w:val="EE865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4777"/>
    <w:multiLevelType w:val="hybridMultilevel"/>
    <w:tmpl w:val="0B4A7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6BCD"/>
    <w:multiLevelType w:val="hybridMultilevel"/>
    <w:tmpl w:val="308E426A"/>
    <w:lvl w:ilvl="0" w:tplc="EE4C7A2A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41828"/>
    <w:multiLevelType w:val="hybridMultilevel"/>
    <w:tmpl w:val="7F623F00"/>
    <w:lvl w:ilvl="0" w:tplc="DFE4AE8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26DB"/>
    <w:multiLevelType w:val="hybridMultilevel"/>
    <w:tmpl w:val="A1048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002DA"/>
    <w:multiLevelType w:val="hybridMultilevel"/>
    <w:tmpl w:val="2718409C"/>
    <w:lvl w:ilvl="0" w:tplc="14740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20758"/>
    <w:multiLevelType w:val="hybridMultilevel"/>
    <w:tmpl w:val="D6B67ED4"/>
    <w:lvl w:ilvl="0" w:tplc="FB24338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E4C80"/>
    <w:multiLevelType w:val="hybridMultilevel"/>
    <w:tmpl w:val="165AE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E3E6A"/>
    <w:multiLevelType w:val="hybridMultilevel"/>
    <w:tmpl w:val="93024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42146"/>
    <w:multiLevelType w:val="hybridMultilevel"/>
    <w:tmpl w:val="6D9A1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C5725"/>
    <w:multiLevelType w:val="hybridMultilevel"/>
    <w:tmpl w:val="8BD03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D6B5A"/>
    <w:multiLevelType w:val="hybridMultilevel"/>
    <w:tmpl w:val="AB7AF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A0591"/>
    <w:multiLevelType w:val="hybridMultilevel"/>
    <w:tmpl w:val="1F1CC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B7A0D"/>
    <w:multiLevelType w:val="hybridMultilevel"/>
    <w:tmpl w:val="1AE66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A4355"/>
    <w:multiLevelType w:val="hybridMultilevel"/>
    <w:tmpl w:val="BA8AC698"/>
    <w:lvl w:ilvl="0" w:tplc="E5BC1112">
      <w:numFmt w:val="bullet"/>
      <w:lvlText w:val="•"/>
      <w:lvlJc w:val="left"/>
      <w:pPr>
        <w:ind w:left="705" w:hanging="705"/>
      </w:pPr>
      <w:rPr>
        <w:rFonts w:ascii="Cambria" w:eastAsiaTheme="minorEastAsia" w:hAnsi="Cambria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19"/>
  </w:num>
  <w:num w:numId="6">
    <w:abstractNumId w:val="13"/>
  </w:num>
  <w:num w:numId="7">
    <w:abstractNumId w:val="17"/>
  </w:num>
  <w:num w:numId="8">
    <w:abstractNumId w:val="4"/>
  </w:num>
  <w:num w:numId="9">
    <w:abstractNumId w:val="18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10"/>
  </w:num>
  <w:num w:numId="15">
    <w:abstractNumId w:val="16"/>
  </w:num>
  <w:num w:numId="16">
    <w:abstractNumId w:val="8"/>
  </w:num>
  <w:num w:numId="17">
    <w:abstractNumId w:val="9"/>
  </w:num>
  <w:num w:numId="18">
    <w:abstractNumId w:val="1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17"/>
    <w:rsid w:val="00091E2C"/>
    <w:rsid w:val="000A1E45"/>
    <w:rsid w:val="000D718B"/>
    <w:rsid w:val="00101296"/>
    <w:rsid w:val="00194505"/>
    <w:rsid w:val="001A652F"/>
    <w:rsid w:val="00237F17"/>
    <w:rsid w:val="00243496"/>
    <w:rsid w:val="00244923"/>
    <w:rsid w:val="00286C6D"/>
    <w:rsid w:val="002C208F"/>
    <w:rsid w:val="002F0A93"/>
    <w:rsid w:val="00305C8F"/>
    <w:rsid w:val="00307EED"/>
    <w:rsid w:val="003A7F11"/>
    <w:rsid w:val="0040135A"/>
    <w:rsid w:val="00440187"/>
    <w:rsid w:val="004D304F"/>
    <w:rsid w:val="004D37BC"/>
    <w:rsid w:val="00573962"/>
    <w:rsid w:val="00602297"/>
    <w:rsid w:val="00613E11"/>
    <w:rsid w:val="00640EBE"/>
    <w:rsid w:val="006925E7"/>
    <w:rsid w:val="006F5377"/>
    <w:rsid w:val="00743B78"/>
    <w:rsid w:val="007576BF"/>
    <w:rsid w:val="007A5617"/>
    <w:rsid w:val="007E2EE6"/>
    <w:rsid w:val="007E7FF4"/>
    <w:rsid w:val="007F2568"/>
    <w:rsid w:val="007F4585"/>
    <w:rsid w:val="00846D69"/>
    <w:rsid w:val="0088327B"/>
    <w:rsid w:val="008A659A"/>
    <w:rsid w:val="0090443C"/>
    <w:rsid w:val="0091553D"/>
    <w:rsid w:val="00964F9E"/>
    <w:rsid w:val="00982924"/>
    <w:rsid w:val="009964F6"/>
    <w:rsid w:val="00997AD9"/>
    <w:rsid w:val="009A2973"/>
    <w:rsid w:val="009C02A7"/>
    <w:rsid w:val="00A44CBA"/>
    <w:rsid w:val="00A8526E"/>
    <w:rsid w:val="00A95262"/>
    <w:rsid w:val="00AD2526"/>
    <w:rsid w:val="00B20242"/>
    <w:rsid w:val="00B45DA4"/>
    <w:rsid w:val="00B6628B"/>
    <w:rsid w:val="00C31339"/>
    <w:rsid w:val="00CF2294"/>
    <w:rsid w:val="00D1064F"/>
    <w:rsid w:val="00D175C3"/>
    <w:rsid w:val="00D23345"/>
    <w:rsid w:val="00D408B5"/>
    <w:rsid w:val="00D959FE"/>
    <w:rsid w:val="00D96411"/>
    <w:rsid w:val="00E27FAC"/>
    <w:rsid w:val="00E437E1"/>
    <w:rsid w:val="00E46967"/>
    <w:rsid w:val="00E66489"/>
    <w:rsid w:val="00E814A0"/>
    <w:rsid w:val="00E84F8C"/>
    <w:rsid w:val="00E96C66"/>
    <w:rsid w:val="00E9755E"/>
    <w:rsid w:val="00EA2FA0"/>
    <w:rsid w:val="00EE5538"/>
    <w:rsid w:val="00EF2938"/>
    <w:rsid w:val="00F05AC8"/>
    <w:rsid w:val="00F24E62"/>
    <w:rsid w:val="00F4322F"/>
    <w:rsid w:val="00F84386"/>
    <w:rsid w:val="00F90DE0"/>
    <w:rsid w:val="00FC385E"/>
    <w:rsid w:val="00FC74A5"/>
    <w:rsid w:val="00FD49C6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0772"/>
  <w15:docId w15:val="{9ACC280C-CF46-412B-B41D-29DE25DA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6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53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E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56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5617"/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7A5617"/>
    <w:pPr>
      <w:widowControl w:val="0"/>
      <w:autoSpaceDE w:val="0"/>
      <w:autoSpaceDN w:val="0"/>
      <w:adjustRightInd w:val="0"/>
      <w:spacing w:after="0" w:line="240" w:lineRule="auto"/>
    </w:pPr>
    <w:rPr>
      <w:rFonts w:ascii="Quaestor" w:hAnsi="Quaestor" w:cs="Quaestor"/>
      <w:color w:val="000000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7A561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617"/>
    <w:rPr>
      <w:rFonts w:ascii="Consolas" w:eastAsiaTheme="minorHAnsi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A5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17"/>
    <w:rPr>
      <w:rFonts w:eastAsiaTheme="minorHAns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61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56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6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F90DE0"/>
    <w:pPr>
      <w:spacing w:line="276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9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E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E0"/>
    <w:rPr>
      <w:rFonts w:eastAsiaTheme="minorHAns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553D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E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Georgia11spacing10after">
    <w:name w:val="Georgia11_spacing_10after"/>
    <w:basedOn w:val="Normal"/>
    <w:rsid w:val="007E2EE6"/>
    <w:pPr>
      <w:spacing w:after="200" w:line="276" w:lineRule="auto"/>
    </w:pPr>
    <w:rPr>
      <w:rFonts w:ascii="Georgia" w:eastAsia="Calibri" w:hAnsi="Georgia" w:cs="Times New Roman"/>
      <w:sz w:val="22"/>
      <w:szCs w:val="2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B20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A57E.8AB10B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Rørtveit Mundal</dc:creator>
  <cp:lastModifiedBy>Knut Tore Stokke</cp:lastModifiedBy>
  <cp:revision>11</cp:revision>
  <cp:lastPrinted>2015-07-02T11:12:00Z</cp:lastPrinted>
  <dcterms:created xsi:type="dcterms:W3CDTF">2021-09-02T10:15:00Z</dcterms:created>
  <dcterms:modified xsi:type="dcterms:W3CDTF">2021-09-09T11:31:00Z</dcterms:modified>
</cp:coreProperties>
</file>