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91553D" w:rsidRPr="00866FA5" w14:paraId="1C70743C" w14:textId="77777777" w:rsidTr="00AA6054">
        <w:tc>
          <w:tcPr>
            <w:tcW w:w="2268" w:type="dxa"/>
          </w:tcPr>
          <w:p w14:paraId="50FB3B01" w14:textId="77777777" w:rsidR="0091553D" w:rsidRPr="00866FA5" w:rsidRDefault="0091553D" w:rsidP="00AA6054">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511376EB" w14:textId="6C040F66" w:rsidR="0091553D" w:rsidRPr="00866FA5" w:rsidRDefault="00627131" w:rsidP="00AA6054">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72C6023D" w14:textId="77777777" w:rsidR="0091553D" w:rsidRPr="00866FA5" w:rsidRDefault="0091553D" w:rsidP="00AA6054">
            <w:pPr>
              <w:rPr>
                <w:rFonts w:ascii="Georgia" w:hAnsi="Georgia"/>
                <w:b/>
                <w:bCs/>
                <w:color w:val="365F91"/>
                <w:sz w:val="16"/>
              </w:rPr>
            </w:pPr>
            <w:r w:rsidRPr="00866FA5">
              <w:rPr>
                <w:rFonts w:ascii="Georgia" w:hAnsi="Georgia"/>
                <w:b/>
                <w:bCs/>
                <w:color w:val="365F91"/>
                <w:sz w:val="16"/>
              </w:rPr>
              <w:t>Rapportert av:</w:t>
            </w:r>
          </w:p>
        </w:tc>
        <w:tc>
          <w:tcPr>
            <w:tcW w:w="1800" w:type="dxa"/>
          </w:tcPr>
          <w:p w14:paraId="7E92BD64" w14:textId="77777777" w:rsidR="0091553D" w:rsidRDefault="00627131" w:rsidP="00AA6054">
            <w:pPr>
              <w:rPr>
                <w:rFonts w:ascii="Georgia" w:hAnsi="Georgia"/>
                <w:b/>
                <w:bCs/>
                <w:color w:val="365F91"/>
                <w:sz w:val="16"/>
              </w:rPr>
            </w:pPr>
            <w:r>
              <w:rPr>
                <w:rFonts w:ascii="Georgia" w:hAnsi="Georgia"/>
                <w:b/>
                <w:bCs/>
                <w:color w:val="365F91"/>
                <w:sz w:val="16"/>
              </w:rPr>
              <w:t>Elin Olaug Rosvold</w:t>
            </w:r>
          </w:p>
          <w:p w14:paraId="3150DB71" w14:textId="027FA4B0" w:rsidR="00627131" w:rsidRPr="00866FA5" w:rsidRDefault="00627131" w:rsidP="00AA6054">
            <w:pPr>
              <w:rPr>
                <w:rFonts w:ascii="Georgia" w:hAnsi="Georgia"/>
                <w:b/>
                <w:bCs/>
                <w:color w:val="365F91"/>
                <w:sz w:val="16"/>
              </w:rPr>
            </w:pPr>
            <w:r>
              <w:rPr>
                <w:rFonts w:ascii="Georgia" w:hAnsi="Georgia"/>
                <w:b/>
                <w:bCs/>
                <w:color w:val="365F91"/>
                <w:sz w:val="16"/>
              </w:rPr>
              <w:t>Knut Tore Stokke</w:t>
            </w:r>
          </w:p>
        </w:tc>
        <w:tc>
          <w:tcPr>
            <w:tcW w:w="1163" w:type="dxa"/>
          </w:tcPr>
          <w:p w14:paraId="05FF4C81" w14:textId="77777777" w:rsidR="0091553D" w:rsidRDefault="0091553D" w:rsidP="00AA6054">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2E26AB29" w14:textId="46C5856B" w:rsidR="0091553D" w:rsidRPr="00866FA5" w:rsidRDefault="00000392" w:rsidP="009168B2">
            <w:pPr>
              <w:rPr>
                <w:rFonts w:ascii="Georgia" w:hAnsi="Georgia"/>
                <w:b/>
                <w:bCs/>
                <w:color w:val="365F91"/>
                <w:sz w:val="16"/>
              </w:rPr>
            </w:pPr>
            <w:r>
              <w:rPr>
                <w:rFonts w:ascii="Georgia" w:hAnsi="Georgia"/>
                <w:b/>
                <w:bCs/>
                <w:color w:val="365F91"/>
                <w:sz w:val="16"/>
              </w:rPr>
              <w:t>T3</w:t>
            </w:r>
            <w:r w:rsidR="0091553D">
              <w:rPr>
                <w:rFonts w:ascii="Georgia" w:hAnsi="Georgia"/>
                <w:b/>
                <w:bCs/>
                <w:color w:val="365F91"/>
                <w:sz w:val="16"/>
              </w:rPr>
              <w:t xml:space="preserve"> - 20</w:t>
            </w:r>
            <w:r w:rsidR="00D2703D">
              <w:rPr>
                <w:rFonts w:ascii="Georgia" w:hAnsi="Georgia"/>
                <w:b/>
                <w:bCs/>
                <w:color w:val="365F91"/>
                <w:sz w:val="16"/>
              </w:rPr>
              <w:t>2</w:t>
            </w:r>
            <w:r w:rsidR="00B1014F">
              <w:rPr>
                <w:rFonts w:ascii="Georgia" w:hAnsi="Georgia"/>
                <w:b/>
                <w:bCs/>
                <w:color w:val="365F91"/>
                <w:sz w:val="16"/>
              </w:rPr>
              <w:t>2</w:t>
            </w:r>
          </w:p>
        </w:tc>
        <w:tc>
          <w:tcPr>
            <w:tcW w:w="1098" w:type="dxa"/>
          </w:tcPr>
          <w:p w14:paraId="1C810383" w14:textId="77777777" w:rsidR="0091553D" w:rsidRPr="00866FA5" w:rsidRDefault="0091553D" w:rsidP="00AA6054">
            <w:pPr>
              <w:rPr>
                <w:rFonts w:ascii="Georgia" w:hAnsi="Georgia"/>
                <w:b/>
                <w:bCs/>
                <w:color w:val="365F91"/>
                <w:sz w:val="16"/>
              </w:rPr>
            </w:pPr>
          </w:p>
        </w:tc>
      </w:tr>
    </w:tbl>
    <w:p w14:paraId="138C094F" w14:textId="46AC3EE3" w:rsidR="00E84F8C" w:rsidRPr="00627131" w:rsidRDefault="00627131" w:rsidP="00627131">
      <w:pPr>
        <w:pStyle w:val="Heading1"/>
        <w:rPr>
          <w:rFonts w:ascii="Georgia" w:hAnsi="Georgia"/>
          <w:lang w:val="nb-NO"/>
        </w:rPr>
      </w:pPr>
      <w:r>
        <w:rPr>
          <w:rFonts w:ascii="Georgia" w:hAnsi="Georgia"/>
          <w:lang w:val="nb-NO"/>
        </w:rPr>
        <w:t xml:space="preserve">Økonomirapport </w:t>
      </w:r>
      <w:proofErr w:type="spellStart"/>
      <w:r>
        <w:rPr>
          <w:rFonts w:ascii="Georgia" w:hAnsi="Georgia"/>
          <w:lang w:val="nb-NO"/>
        </w:rPr>
        <w:t>Helsam</w:t>
      </w:r>
      <w:proofErr w:type="spellEnd"/>
      <w:r>
        <w:rPr>
          <w:rFonts w:ascii="Georgia" w:hAnsi="Georgia"/>
          <w:lang w:val="nb-NO"/>
        </w:rPr>
        <w:t xml:space="preserve"> T3 2022</w:t>
      </w:r>
    </w:p>
    <w:p w14:paraId="7E4DC608" w14:textId="58F55C83" w:rsidR="00B20242" w:rsidRDefault="00B20242" w:rsidP="00B20242">
      <w:pPr>
        <w:pStyle w:val="Heading2"/>
      </w:pPr>
      <w:r>
        <w:t>Vurdering av økonomisk situasjon</w:t>
      </w:r>
    </w:p>
    <w:p w14:paraId="23EF885E" w14:textId="4BAE8776" w:rsidR="009C1AE7" w:rsidRDefault="002A1804" w:rsidP="00627131">
      <w:pPr>
        <w:rPr>
          <w:rFonts w:ascii="Georgia" w:hAnsi="Georgia"/>
          <w:sz w:val="22"/>
          <w:szCs w:val="22"/>
        </w:rPr>
      </w:pPr>
      <w:r>
        <w:rPr>
          <w:rFonts w:ascii="Georgia" w:hAnsi="Georgia"/>
          <w:sz w:val="22"/>
          <w:szCs w:val="22"/>
        </w:rPr>
        <w:t xml:space="preserve">Den økonomiske situasjonen ved </w:t>
      </w:r>
      <w:proofErr w:type="spellStart"/>
      <w:r>
        <w:rPr>
          <w:rFonts w:ascii="Georgia" w:hAnsi="Georgia"/>
          <w:sz w:val="22"/>
          <w:szCs w:val="22"/>
        </w:rPr>
        <w:t>Helsam</w:t>
      </w:r>
      <w:proofErr w:type="spellEnd"/>
      <w:r>
        <w:rPr>
          <w:rFonts w:ascii="Georgia" w:hAnsi="Georgia"/>
          <w:sz w:val="22"/>
          <w:szCs w:val="22"/>
        </w:rPr>
        <w:t xml:space="preserve"> er vesentlig forverret gjennom tredje tertial som følge av kutt i </w:t>
      </w:r>
      <w:r w:rsidR="001C7A7E">
        <w:rPr>
          <w:rFonts w:ascii="Georgia" w:hAnsi="Georgia"/>
          <w:sz w:val="22"/>
          <w:szCs w:val="22"/>
        </w:rPr>
        <w:t xml:space="preserve">fremtidige </w:t>
      </w:r>
      <w:r>
        <w:rPr>
          <w:rFonts w:ascii="Georgia" w:hAnsi="Georgia"/>
          <w:sz w:val="22"/>
          <w:szCs w:val="22"/>
        </w:rPr>
        <w:t>tildelinge</w:t>
      </w:r>
      <w:r w:rsidR="001C7A7E">
        <w:rPr>
          <w:rFonts w:ascii="Georgia" w:hAnsi="Georgia"/>
          <w:sz w:val="22"/>
          <w:szCs w:val="22"/>
        </w:rPr>
        <w:t>r</w:t>
      </w:r>
      <w:r>
        <w:rPr>
          <w:rFonts w:ascii="Georgia" w:hAnsi="Georgia"/>
          <w:sz w:val="22"/>
          <w:szCs w:val="22"/>
        </w:rPr>
        <w:t xml:space="preserve">. </w:t>
      </w:r>
      <w:r w:rsidR="009C1AE7">
        <w:rPr>
          <w:rFonts w:ascii="Georgia" w:hAnsi="Georgia"/>
          <w:sz w:val="22"/>
          <w:szCs w:val="22"/>
        </w:rPr>
        <w:t xml:space="preserve">Instituttet vil derfor revidere budsjett og prognose for å sikre økonomisk styring i perioden som ligger foran oss. </w:t>
      </w:r>
    </w:p>
    <w:p w14:paraId="789F05B6" w14:textId="77777777" w:rsidR="009C1AE7" w:rsidRDefault="009C1AE7" w:rsidP="00627131">
      <w:pPr>
        <w:rPr>
          <w:rFonts w:ascii="Georgia" w:hAnsi="Georgia"/>
          <w:sz w:val="22"/>
          <w:szCs w:val="22"/>
        </w:rPr>
      </w:pPr>
    </w:p>
    <w:p w14:paraId="7EB33ADE" w14:textId="374F4F39" w:rsidR="00747762" w:rsidRDefault="002A1804" w:rsidP="00627131">
      <w:pPr>
        <w:rPr>
          <w:rFonts w:ascii="Georgia" w:hAnsi="Georgia"/>
          <w:sz w:val="22"/>
          <w:szCs w:val="22"/>
        </w:rPr>
      </w:pPr>
      <w:r>
        <w:rPr>
          <w:rFonts w:ascii="Georgia" w:hAnsi="Georgia"/>
          <w:sz w:val="22"/>
          <w:szCs w:val="22"/>
        </w:rPr>
        <w:t xml:space="preserve">Vi viser for øvrig til ledelseskommentaren for beskrivelse av den overordnete økonomiske situasjonen. </w:t>
      </w:r>
    </w:p>
    <w:p w14:paraId="6D7BE579" w14:textId="40206D6F" w:rsidR="00747762" w:rsidRDefault="00747762" w:rsidP="00747762">
      <w:pPr>
        <w:pStyle w:val="Heading2"/>
      </w:pPr>
      <w:r>
        <w:t>Bevilgningsøkonomien i T3 2022</w:t>
      </w:r>
    </w:p>
    <w:p w14:paraId="61FC84DA" w14:textId="4D7BDDF9" w:rsidR="00290163" w:rsidRDefault="00747762" w:rsidP="00290163">
      <w:pPr>
        <w:rPr>
          <w:rFonts w:ascii="Georgia" w:hAnsi="Georgia"/>
          <w:sz w:val="22"/>
          <w:szCs w:val="22"/>
        </w:rPr>
      </w:pPr>
      <w:r w:rsidRPr="00290163">
        <w:rPr>
          <w:rFonts w:ascii="Georgia" w:hAnsi="Georgia"/>
          <w:sz w:val="22"/>
          <w:szCs w:val="22"/>
        </w:rPr>
        <w:t>Regnskapet for T3 er stort sett i tråd med sist innlevete prognose</w:t>
      </w:r>
      <w:r w:rsidR="00290163" w:rsidRPr="00290163">
        <w:rPr>
          <w:rFonts w:ascii="Georgia" w:hAnsi="Georgia"/>
          <w:sz w:val="22"/>
          <w:szCs w:val="22"/>
        </w:rPr>
        <w:t>, selv om driftskostnadene ble noe høyere enn antatt og nettobidraget også økte noe. Akkumulert resultat er som antatt i balanse</w:t>
      </w:r>
      <w:r w:rsidR="00316BFC">
        <w:rPr>
          <w:rStyle w:val="FootnoteReference"/>
          <w:rFonts w:ascii="Georgia" w:hAnsi="Georgia"/>
          <w:sz w:val="22"/>
          <w:szCs w:val="22"/>
        </w:rPr>
        <w:footnoteReference w:id="1"/>
      </w:r>
      <w:r w:rsidR="00290163" w:rsidRPr="00290163">
        <w:rPr>
          <w:rFonts w:ascii="Georgia" w:hAnsi="Georgia"/>
          <w:sz w:val="22"/>
          <w:szCs w:val="22"/>
        </w:rPr>
        <w:t xml:space="preserve">. </w:t>
      </w:r>
      <w:r w:rsidR="00290163">
        <w:rPr>
          <w:rFonts w:ascii="Georgia" w:hAnsi="Georgia"/>
          <w:sz w:val="22"/>
          <w:szCs w:val="22"/>
        </w:rPr>
        <w:t xml:space="preserve">Vi gjør oppmerksom på at bevilgningsøkonomien ved utgangen av 2022 inkluderer et akkumulert </w:t>
      </w:r>
      <w:proofErr w:type="spellStart"/>
      <w:r w:rsidR="00290163">
        <w:rPr>
          <w:rFonts w:ascii="Georgia" w:hAnsi="Georgia"/>
          <w:sz w:val="22"/>
          <w:szCs w:val="22"/>
        </w:rPr>
        <w:t>mindreforbruk</w:t>
      </w:r>
      <w:proofErr w:type="spellEnd"/>
      <w:r w:rsidR="00290163">
        <w:rPr>
          <w:rFonts w:ascii="Georgia" w:hAnsi="Georgia"/>
          <w:sz w:val="22"/>
          <w:szCs w:val="22"/>
        </w:rPr>
        <w:t xml:space="preserve"> ved Senter for global helse på til sammen 2,4 mill. </w:t>
      </w:r>
      <w:r w:rsidR="001C7A7E">
        <w:rPr>
          <w:rFonts w:ascii="Georgia" w:hAnsi="Georgia"/>
          <w:sz w:val="22"/>
          <w:szCs w:val="22"/>
        </w:rPr>
        <w:t>0,6 mill.</w:t>
      </w:r>
      <w:r w:rsidR="00290163">
        <w:rPr>
          <w:rFonts w:ascii="Georgia" w:hAnsi="Georgia"/>
          <w:sz w:val="22"/>
          <w:szCs w:val="22"/>
        </w:rPr>
        <w:t xml:space="preserve"> av dette er avsetninger knyttet til tildelinger gitt fra Livsvitenskapsatsningen, mens </w:t>
      </w:r>
      <w:r w:rsidR="001C7A7E">
        <w:rPr>
          <w:rFonts w:ascii="Georgia" w:hAnsi="Georgia"/>
          <w:sz w:val="22"/>
          <w:szCs w:val="22"/>
        </w:rPr>
        <w:t>1,8 mill.</w:t>
      </w:r>
      <w:r w:rsidR="00290163">
        <w:rPr>
          <w:rFonts w:ascii="Georgia" w:hAnsi="Georgia"/>
          <w:sz w:val="22"/>
          <w:szCs w:val="22"/>
        </w:rPr>
        <w:t xml:space="preserve"> er knyttet til et generelt </w:t>
      </w:r>
      <w:proofErr w:type="spellStart"/>
      <w:r w:rsidR="00290163">
        <w:rPr>
          <w:rFonts w:ascii="Georgia" w:hAnsi="Georgia"/>
          <w:sz w:val="22"/>
          <w:szCs w:val="22"/>
        </w:rPr>
        <w:t>mindreforbruk</w:t>
      </w:r>
      <w:proofErr w:type="spellEnd"/>
      <w:r w:rsidR="00290163">
        <w:rPr>
          <w:rFonts w:ascii="Georgia" w:hAnsi="Georgia"/>
          <w:sz w:val="22"/>
          <w:szCs w:val="22"/>
        </w:rPr>
        <w:t xml:space="preserve">. Vi henviser </w:t>
      </w:r>
      <w:r w:rsidR="00EE66CC">
        <w:rPr>
          <w:rFonts w:ascii="Georgia" w:hAnsi="Georgia"/>
          <w:sz w:val="22"/>
          <w:szCs w:val="22"/>
        </w:rPr>
        <w:t xml:space="preserve">til vårt innspill i ledelseskommentaren til budsjett og prognose for 23-27 om at </w:t>
      </w:r>
      <w:proofErr w:type="spellStart"/>
      <w:r w:rsidR="00EE66CC">
        <w:rPr>
          <w:rFonts w:ascii="Georgia" w:hAnsi="Georgia"/>
          <w:sz w:val="22"/>
          <w:szCs w:val="22"/>
        </w:rPr>
        <w:t>Helsam</w:t>
      </w:r>
      <w:proofErr w:type="spellEnd"/>
      <w:r w:rsidR="00EE66CC">
        <w:rPr>
          <w:rFonts w:ascii="Georgia" w:hAnsi="Georgia"/>
          <w:sz w:val="22"/>
          <w:szCs w:val="22"/>
        </w:rPr>
        <w:t xml:space="preserve"> anser det som rimelig at den andelen av </w:t>
      </w:r>
      <w:proofErr w:type="spellStart"/>
      <w:r w:rsidR="00EE66CC">
        <w:rPr>
          <w:rFonts w:ascii="Georgia" w:hAnsi="Georgia"/>
          <w:sz w:val="22"/>
          <w:szCs w:val="22"/>
        </w:rPr>
        <w:t>mindreforbruket</w:t>
      </w:r>
      <w:proofErr w:type="spellEnd"/>
      <w:r w:rsidR="00EE66CC">
        <w:rPr>
          <w:rFonts w:ascii="Georgia" w:hAnsi="Georgia"/>
          <w:sz w:val="22"/>
          <w:szCs w:val="22"/>
        </w:rPr>
        <w:t xml:space="preserve"> som ikke er knyttet til avsetninger beholdes ved </w:t>
      </w:r>
      <w:proofErr w:type="spellStart"/>
      <w:r w:rsidR="00EE66CC">
        <w:rPr>
          <w:rFonts w:ascii="Georgia" w:hAnsi="Georgia"/>
          <w:sz w:val="22"/>
          <w:szCs w:val="22"/>
        </w:rPr>
        <w:t>Helsam</w:t>
      </w:r>
      <w:proofErr w:type="spellEnd"/>
      <w:r w:rsidR="00EE66CC">
        <w:rPr>
          <w:rFonts w:ascii="Georgia" w:hAnsi="Georgia"/>
          <w:sz w:val="22"/>
          <w:szCs w:val="22"/>
        </w:rPr>
        <w:t xml:space="preserve"> når Senter for global helse flyttes til Enhet for bærekraftig helse. </w:t>
      </w:r>
      <w:r w:rsidR="00290163">
        <w:rPr>
          <w:rFonts w:ascii="Georgia" w:hAnsi="Georgia"/>
          <w:sz w:val="22"/>
          <w:szCs w:val="22"/>
        </w:rPr>
        <w:t xml:space="preserve"> </w:t>
      </w:r>
    </w:p>
    <w:p w14:paraId="23FF83C8" w14:textId="55418E11" w:rsidR="00367398" w:rsidRDefault="00367398" w:rsidP="00290163">
      <w:pPr>
        <w:rPr>
          <w:rFonts w:ascii="Georgia" w:hAnsi="Georgia"/>
          <w:sz w:val="22"/>
          <w:szCs w:val="22"/>
        </w:rPr>
      </w:pPr>
    </w:p>
    <w:p w14:paraId="4EF40677" w14:textId="5FB4FD4D" w:rsidR="00367398" w:rsidRPr="00290163" w:rsidRDefault="00367398" w:rsidP="00290163">
      <w:pPr>
        <w:rPr>
          <w:rFonts w:ascii="Georgia" w:hAnsi="Georgia"/>
          <w:sz w:val="22"/>
          <w:szCs w:val="22"/>
        </w:rPr>
      </w:pPr>
      <w:proofErr w:type="spellStart"/>
      <w:r>
        <w:rPr>
          <w:rFonts w:ascii="Georgia" w:hAnsi="Georgia"/>
          <w:sz w:val="22"/>
          <w:szCs w:val="22"/>
        </w:rPr>
        <w:t>Helsam</w:t>
      </w:r>
      <w:proofErr w:type="spellEnd"/>
      <w:r>
        <w:rPr>
          <w:rFonts w:ascii="Georgia" w:hAnsi="Georgia"/>
          <w:sz w:val="22"/>
          <w:szCs w:val="22"/>
        </w:rPr>
        <w:t xml:space="preserve"> har et begrenset volum av øvrige sentrale avsetninger. Det utgjør ved utgangen av 2022 1,1 mill. Vi forventer at nivået av avsetninger vil bestå på omtrent samme nivå over tid og at det dermed ikke vil ha noen vesentlig påvirkning på handlingsrommet i bevilgningsøkonomien. </w:t>
      </w:r>
    </w:p>
    <w:p w14:paraId="21A62F77" w14:textId="77777777" w:rsidR="00290163" w:rsidRPr="00290163" w:rsidRDefault="00290163" w:rsidP="00290163">
      <w:pPr>
        <w:rPr>
          <w:rFonts w:ascii="Georgia" w:hAnsi="Georgia"/>
          <w:sz w:val="22"/>
          <w:szCs w:val="22"/>
        </w:rPr>
      </w:pPr>
    </w:p>
    <w:p w14:paraId="471DF3D1" w14:textId="112146B0" w:rsidR="009C1AE7" w:rsidRDefault="00290163" w:rsidP="00290163">
      <w:pPr>
        <w:rPr>
          <w:rFonts w:ascii="Georgia" w:hAnsi="Georgia"/>
          <w:sz w:val="22"/>
          <w:szCs w:val="22"/>
        </w:rPr>
      </w:pPr>
      <w:r w:rsidRPr="00290163">
        <w:rPr>
          <w:rFonts w:ascii="Georgia" w:hAnsi="Georgia"/>
          <w:sz w:val="22"/>
          <w:szCs w:val="22"/>
        </w:rPr>
        <w:t>Målt mot budsjettet fra desember 2021 er inntektene 4,3 mill. høyere</w:t>
      </w:r>
      <w:r w:rsidR="00747762" w:rsidRPr="00290163">
        <w:rPr>
          <w:rFonts w:ascii="Georgia" w:hAnsi="Georgia"/>
          <w:sz w:val="22"/>
          <w:szCs w:val="22"/>
        </w:rPr>
        <w:t xml:space="preserve"> </w:t>
      </w:r>
      <w:r w:rsidRPr="00290163">
        <w:rPr>
          <w:rFonts w:ascii="Georgia" w:hAnsi="Georgia"/>
          <w:sz w:val="22"/>
          <w:szCs w:val="22"/>
        </w:rPr>
        <w:t xml:space="preserve">  og det skyldes som vi redegjorde for i T1 r</w:t>
      </w:r>
      <w:r>
        <w:rPr>
          <w:rFonts w:ascii="Georgia" w:hAnsi="Georgia"/>
          <w:sz w:val="22"/>
          <w:szCs w:val="22"/>
        </w:rPr>
        <w:t xml:space="preserve">apporteringen en mindre feilbudsjettering.   Dette motvirkes av tilsvarende avvik på personalkostnader </w:t>
      </w:r>
      <w:r w:rsidR="009C1AE7">
        <w:rPr>
          <w:rFonts w:ascii="Georgia" w:hAnsi="Georgia"/>
          <w:sz w:val="22"/>
          <w:szCs w:val="22"/>
        </w:rPr>
        <w:t>som dels skyldes et dyrere lønnsoppgjør enn ventet og dels at frikjøpene har økt og skapt behov for flere vikartilsetninger i bevilgningsøkonomien</w:t>
      </w:r>
      <w:r>
        <w:rPr>
          <w:rFonts w:ascii="Georgia" w:hAnsi="Georgia"/>
          <w:sz w:val="22"/>
          <w:szCs w:val="22"/>
        </w:rPr>
        <w:t xml:space="preserve">. </w:t>
      </w:r>
      <w:r w:rsidR="00EE66CC">
        <w:rPr>
          <w:rFonts w:ascii="Georgia" w:hAnsi="Georgia"/>
          <w:sz w:val="22"/>
          <w:szCs w:val="22"/>
        </w:rPr>
        <w:t xml:space="preserve"> </w:t>
      </w:r>
      <w:r w:rsidR="009C1AE7">
        <w:rPr>
          <w:rFonts w:ascii="Georgia" w:hAnsi="Georgia"/>
          <w:sz w:val="22"/>
          <w:szCs w:val="22"/>
        </w:rPr>
        <w:t xml:space="preserve">Investeringer og driftskostnader ble som budsjettert og det isolerte merforbruket samsvarer dermed også med budsjettet. </w:t>
      </w:r>
    </w:p>
    <w:p w14:paraId="4AA7A22C" w14:textId="77777777" w:rsidR="009C1AE7" w:rsidRDefault="009C1AE7" w:rsidP="00290163">
      <w:pPr>
        <w:rPr>
          <w:rFonts w:ascii="Georgia" w:hAnsi="Georgia"/>
          <w:sz w:val="22"/>
          <w:szCs w:val="22"/>
        </w:rPr>
      </w:pPr>
    </w:p>
    <w:p w14:paraId="5B9071E1" w14:textId="1E88A535" w:rsidR="009C1AE7" w:rsidRDefault="00EE66CC" w:rsidP="00290163">
      <w:pPr>
        <w:rPr>
          <w:rFonts w:ascii="Georgia" w:hAnsi="Georgia"/>
          <w:sz w:val="22"/>
          <w:szCs w:val="22"/>
        </w:rPr>
      </w:pPr>
      <w:r>
        <w:rPr>
          <w:rFonts w:ascii="Georgia" w:hAnsi="Georgia"/>
          <w:sz w:val="22"/>
          <w:szCs w:val="22"/>
        </w:rPr>
        <w:t>Nettobidraget for BOA-virksomheten er rekordhøyt og ligger nå tett på å utgjøre halvparten av KD-tildelingen. Det innebærer som vi har gjort rede for tidligere at vi må forvente større usikkerhet og svingninger i bevilgningsøkonomien enn øvrige virksomheter ved UiO.</w:t>
      </w:r>
      <w:r w:rsidR="000348BA">
        <w:rPr>
          <w:rFonts w:ascii="Georgia" w:hAnsi="Georgia"/>
          <w:sz w:val="22"/>
          <w:szCs w:val="22"/>
        </w:rPr>
        <w:t xml:space="preserve"> </w:t>
      </w:r>
    </w:p>
    <w:p w14:paraId="3DFBA7D3" w14:textId="77777777" w:rsidR="009C1AE7" w:rsidRDefault="009C1AE7" w:rsidP="00290163">
      <w:pPr>
        <w:rPr>
          <w:rFonts w:ascii="Georgia" w:hAnsi="Georgia"/>
          <w:sz w:val="22"/>
          <w:szCs w:val="22"/>
        </w:rPr>
      </w:pPr>
    </w:p>
    <w:p w14:paraId="74D333C2" w14:textId="5686BE91" w:rsidR="00EE66CC" w:rsidRDefault="000348BA" w:rsidP="00290163">
      <w:pPr>
        <w:rPr>
          <w:rFonts w:ascii="Georgia" w:hAnsi="Georgia"/>
          <w:sz w:val="22"/>
          <w:szCs w:val="22"/>
        </w:rPr>
      </w:pPr>
      <w:r>
        <w:rPr>
          <w:rFonts w:ascii="Georgia" w:hAnsi="Georgia"/>
          <w:sz w:val="22"/>
          <w:szCs w:val="22"/>
        </w:rPr>
        <w:t xml:space="preserve">I budsjettet for 2022 var det lagt inn en forventning om at utsatt aktivitet i BOA-virksomheten samlet sett ville gi et nettobidrag som var 8% lavere enn det summen av alle prosjektbudsjettene tilsa. Effekten av nye prosjekter som ikke var kjent ved budsjetteringen var også en del av denne vurderingen. Regnskapsresultatet viser at effekten av nye prosjekter og forsinket aktivitet samlet sett ga et nettobidrag i tråd med det vi ville fått dersom vi ikke hadde gjort et nedtrekk på 8%. </w:t>
      </w:r>
      <w:r w:rsidR="003C5A5C">
        <w:rPr>
          <w:rFonts w:ascii="Georgia" w:hAnsi="Georgia"/>
          <w:sz w:val="22"/>
          <w:szCs w:val="22"/>
        </w:rPr>
        <w:t>Vi har ikke foretatt noen nærmere analyse av om det primært skyldes at det har vært mindre utsatt aktivitet enn normalt eller om det skyldes oppstart av nye prosjekter, men</w:t>
      </w:r>
      <w:r w:rsidR="009C1AE7">
        <w:rPr>
          <w:rFonts w:ascii="Georgia" w:hAnsi="Georgia"/>
          <w:sz w:val="22"/>
          <w:szCs w:val="22"/>
        </w:rPr>
        <w:t xml:space="preserve"> i budsjettet for 2023 er dette</w:t>
      </w:r>
      <w:r w:rsidR="003C5A5C">
        <w:rPr>
          <w:rFonts w:ascii="Georgia" w:hAnsi="Georgia"/>
          <w:sz w:val="22"/>
          <w:szCs w:val="22"/>
        </w:rPr>
        <w:t xml:space="preserve"> nedtrekket</w:t>
      </w:r>
      <w:r w:rsidR="009C1AE7">
        <w:rPr>
          <w:rFonts w:ascii="Georgia" w:hAnsi="Georgia"/>
          <w:sz w:val="22"/>
          <w:szCs w:val="22"/>
        </w:rPr>
        <w:t xml:space="preserve"> justert ned til</w:t>
      </w:r>
      <w:r w:rsidR="003C5A5C">
        <w:rPr>
          <w:rFonts w:ascii="Georgia" w:hAnsi="Georgia"/>
          <w:sz w:val="22"/>
          <w:szCs w:val="22"/>
        </w:rPr>
        <w:t xml:space="preserve"> 4%. </w:t>
      </w:r>
    </w:p>
    <w:p w14:paraId="690057B3" w14:textId="77777777" w:rsidR="00EE66CC" w:rsidRDefault="00EE66CC" w:rsidP="00290163">
      <w:pPr>
        <w:rPr>
          <w:rFonts w:ascii="Georgia" w:hAnsi="Georgia"/>
          <w:sz w:val="22"/>
          <w:szCs w:val="22"/>
        </w:rPr>
      </w:pPr>
    </w:p>
    <w:p w14:paraId="020F9A42" w14:textId="77777777" w:rsidR="00EE66CC" w:rsidRDefault="00EE66CC" w:rsidP="00EE66CC">
      <w:pPr>
        <w:pStyle w:val="Heading2"/>
      </w:pPr>
      <w:r>
        <w:lastRenderedPageBreak/>
        <w:t>BOA-virksomheten  i T3 2022</w:t>
      </w:r>
    </w:p>
    <w:p w14:paraId="6F0FC617" w14:textId="563785CE" w:rsidR="003C5A5C" w:rsidRDefault="00EE66CC" w:rsidP="00EE66CC">
      <w:pPr>
        <w:rPr>
          <w:rFonts w:ascii="Georgia" w:hAnsi="Georgia"/>
          <w:sz w:val="22"/>
          <w:szCs w:val="22"/>
        </w:rPr>
      </w:pPr>
      <w:r>
        <w:rPr>
          <w:rFonts w:ascii="Georgia" w:hAnsi="Georgia"/>
          <w:sz w:val="22"/>
          <w:szCs w:val="22"/>
        </w:rPr>
        <w:t xml:space="preserve">Det er høy aktivitet i BOA-virksomheten ved </w:t>
      </w:r>
      <w:proofErr w:type="spellStart"/>
      <w:r>
        <w:rPr>
          <w:rFonts w:ascii="Georgia" w:hAnsi="Georgia"/>
          <w:sz w:val="22"/>
          <w:szCs w:val="22"/>
        </w:rPr>
        <w:t>Helsam</w:t>
      </w:r>
      <w:proofErr w:type="spellEnd"/>
      <w:r>
        <w:rPr>
          <w:rFonts w:ascii="Georgia" w:hAnsi="Georgia"/>
          <w:sz w:val="22"/>
          <w:szCs w:val="22"/>
        </w:rPr>
        <w:t xml:space="preserve"> og </w:t>
      </w:r>
      <w:r w:rsidR="00246292">
        <w:rPr>
          <w:rFonts w:ascii="Georgia" w:hAnsi="Georgia"/>
          <w:sz w:val="22"/>
          <w:szCs w:val="22"/>
        </w:rPr>
        <w:t xml:space="preserve">aktiviteten er fordelt på en stor portefølje av prosjekter. </w:t>
      </w:r>
      <w:r w:rsidR="006E38C8">
        <w:rPr>
          <w:rFonts w:ascii="Georgia" w:hAnsi="Georgia"/>
          <w:sz w:val="22"/>
          <w:szCs w:val="22"/>
        </w:rPr>
        <w:t>Tilfanget av nye prosjekter har vært bra i 2022. Vi har hatt en gledelig utvikling i form av nye EU-prosjekter</w:t>
      </w:r>
      <w:r w:rsidR="009C1AE7">
        <w:rPr>
          <w:rFonts w:ascii="Georgia" w:hAnsi="Georgia"/>
          <w:sz w:val="22"/>
          <w:szCs w:val="22"/>
        </w:rPr>
        <w:t xml:space="preserve"> og fikk også uttelling fra NFR i et år hvor det var mye usikkerhet knyttet til mulighetene der.</w:t>
      </w:r>
    </w:p>
    <w:p w14:paraId="7216F106" w14:textId="77777777" w:rsidR="003C5A5C" w:rsidRDefault="003C5A5C" w:rsidP="00EE66CC">
      <w:pPr>
        <w:rPr>
          <w:rFonts w:ascii="Georgia" w:hAnsi="Georgia"/>
          <w:sz w:val="22"/>
          <w:szCs w:val="22"/>
        </w:rPr>
      </w:pPr>
    </w:p>
    <w:p w14:paraId="351A9EAF" w14:textId="4B2F5684" w:rsidR="006E38C8" w:rsidRDefault="006E38C8" w:rsidP="00EE66CC">
      <w:pPr>
        <w:rPr>
          <w:rFonts w:ascii="Georgia" w:hAnsi="Georgia"/>
          <w:sz w:val="22"/>
          <w:szCs w:val="22"/>
        </w:rPr>
      </w:pPr>
      <w:r>
        <w:rPr>
          <w:rFonts w:ascii="Georgia" w:hAnsi="Georgia"/>
          <w:sz w:val="22"/>
          <w:szCs w:val="22"/>
        </w:rPr>
        <w:t xml:space="preserve">Som vi har rapportert tidligere så fortsetter trenden med at mer av innsatsen i BOA-virksomheten skjer gjennom frikjøp av ansatte i bevilgningsøkonomien. Sammenkoblingen mellom bevilgning og BOA </w:t>
      </w:r>
      <w:r w:rsidR="000348BA">
        <w:rPr>
          <w:rFonts w:ascii="Georgia" w:hAnsi="Georgia"/>
          <w:sz w:val="22"/>
          <w:szCs w:val="22"/>
        </w:rPr>
        <w:t xml:space="preserve">gjennom frikjøp bidrar ytterligere til å forsterke utviklingen i BOA-virksomheten som en usikkerhetsfaktor for bevilgningsøkonomien. </w:t>
      </w:r>
    </w:p>
    <w:p w14:paraId="5E2CA516" w14:textId="77777777" w:rsidR="006E38C8" w:rsidRDefault="006E38C8" w:rsidP="00EE66CC">
      <w:pPr>
        <w:rPr>
          <w:rFonts w:ascii="Georgia" w:hAnsi="Georgia"/>
          <w:sz w:val="22"/>
          <w:szCs w:val="22"/>
        </w:rPr>
      </w:pPr>
    </w:p>
    <w:p w14:paraId="69FC7A85" w14:textId="6A65A703" w:rsidR="003C5A5C" w:rsidRDefault="00246292" w:rsidP="00EE66CC">
      <w:pPr>
        <w:rPr>
          <w:rFonts w:ascii="Georgia" w:hAnsi="Georgia"/>
          <w:sz w:val="22"/>
          <w:szCs w:val="22"/>
        </w:rPr>
      </w:pPr>
      <w:r>
        <w:rPr>
          <w:rFonts w:ascii="Georgia" w:hAnsi="Georgia"/>
          <w:sz w:val="22"/>
          <w:szCs w:val="22"/>
        </w:rPr>
        <w:t>Etter overgangen til nye økonomisystemer har det vært behov for flere justeringer og omposteringer primært som følge av innføring og opplæring i nye systemer</w:t>
      </w:r>
      <w:r w:rsidR="003C5A5C">
        <w:rPr>
          <w:rFonts w:ascii="Georgia" w:hAnsi="Georgia"/>
          <w:sz w:val="22"/>
          <w:szCs w:val="22"/>
        </w:rPr>
        <w:t xml:space="preserve"> og rutiner</w:t>
      </w:r>
      <w:r>
        <w:rPr>
          <w:rFonts w:ascii="Georgia" w:hAnsi="Georgia"/>
          <w:sz w:val="22"/>
          <w:szCs w:val="22"/>
        </w:rPr>
        <w:t xml:space="preserve">. Det dreier seg dels om feil i inntektsrammene for det enkelte prosjekt, men også om at </w:t>
      </w:r>
      <w:proofErr w:type="spellStart"/>
      <w:r>
        <w:rPr>
          <w:rFonts w:ascii="Georgia" w:hAnsi="Georgia"/>
          <w:sz w:val="22"/>
          <w:szCs w:val="22"/>
        </w:rPr>
        <w:t>autoposteringene</w:t>
      </w:r>
      <w:proofErr w:type="spellEnd"/>
      <w:r>
        <w:rPr>
          <w:rFonts w:ascii="Georgia" w:hAnsi="Georgia"/>
          <w:sz w:val="22"/>
          <w:szCs w:val="22"/>
        </w:rPr>
        <w:t xml:space="preserve"> i det enkelte prosjekt</w:t>
      </w:r>
      <w:r w:rsidR="0091775A">
        <w:rPr>
          <w:rFonts w:ascii="Georgia" w:hAnsi="Georgia"/>
          <w:sz w:val="22"/>
          <w:szCs w:val="22"/>
        </w:rPr>
        <w:t xml:space="preserve"> feiler på grunn av feil </w:t>
      </w:r>
      <w:r w:rsidR="003C5A5C">
        <w:rPr>
          <w:rFonts w:ascii="Georgia" w:hAnsi="Georgia"/>
          <w:sz w:val="22"/>
          <w:szCs w:val="22"/>
        </w:rPr>
        <w:t>i kategoriseringen av prosj</w:t>
      </w:r>
      <w:r w:rsidR="00316BFC">
        <w:rPr>
          <w:rFonts w:ascii="Georgia" w:hAnsi="Georgia"/>
          <w:sz w:val="22"/>
          <w:szCs w:val="22"/>
        </w:rPr>
        <w:t>e</w:t>
      </w:r>
      <w:r w:rsidR="003C5A5C">
        <w:rPr>
          <w:rFonts w:ascii="Georgia" w:hAnsi="Georgia"/>
          <w:sz w:val="22"/>
          <w:szCs w:val="22"/>
        </w:rPr>
        <w:t xml:space="preserve">kter og dermed feil </w:t>
      </w:r>
      <w:r w:rsidR="0091775A">
        <w:rPr>
          <w:rFonts w:ascii="Georgia" w:hAnsi="Georgia"/>
          <w:sz w:val="22"/>
          <w:szCs w:val="22"/>
        </w:rPr>
        <w:t xml:space="preserve">bruk av konto. Vi opplever ved utgangen av T3 en gradvis bedring  i dette og forventer at BOA-virksomheten vil være nærmere å være i balanse gjennom året i tråd med intensjonene for regnskapsføring. </w:t>
      </w:r>
      <w:r w:rsidR="003C5A5C">
        <w:rPr>
          <w:rFonts w:ascii="Georgia" w:hAnsi="Georgia"/>
          <w:sz w:val="22"/>
          <w:szCs w:val="22"/>
        </w:rPr>
        <w:t>Med en stor portefølje av prosjekter så anser vi det som lite hensiktsmessig og realistisk at BOA-virksomheten skal være i fullstendig balanse i regnskapet til enhver tid da det ville innebære en vesentlig økning i de administrative kostnadene med å følge opp BOA-virksomheten</w:t>
      </w:r>
    </w:p>
    <w:p w14:paraId="792F88B9" w14:textId="77777777" w:rsidR="003C5A5C" w:rsidRDefault="003C5A5C" w:rsidP="00EE66CC">
      <w:pPr>
        <w:rPr>
          <w:rFonts w:ascii="Georgia" w:hAnsi="Georgia"/>
          <w:sz w:val="22"/>
          <w:szCs w:val="22"/>
        </w:rPr>
      </w:pPr>
    </w:p>
    <w:p w14:paraId="79B9B1BC" w14:textId="1702514F" w:rsidR="00EE66CC" w:rsidRPr="00EE66CC" w:rsidRDefault="0091775A" w:rsidP="00EE66CC">
      <w:pPr>
        <w:rPr>
          <w:rFonts w:ascii="Georgia" w:hAnsi="Georgia"/>
          <w:sz w:val="22"/>
          <w:szCs w:val="22"/>
        </w:rPr>
        <w:sectPr w:rsidR="00EE66CC" w:rsidRPr="00EE66CC" w:rsidSect="00290163">
          <w:headerReference w:type="default" r:id="rId8"/>
          <w:footerReference w:type="default" r:id="rId9"/>
          <w:footerReference w:type="first" r:id="rId10"/>
          <w:pgSz w:w="11906" w:h="16838"/>
          <w:pgMar w:top="1440" w:right="1440" w:bottom="1440" w:left="1440" w:header="708" w:footer="708" w:gutter="0"/>
          <w:cols w:space="708"/>
          <w:docGrid w:linePitch="360"/>
        </w:sectPr>
      </w:pPr>
      <w:r>
        <w:rPr>
          <w:rFonts w:ascii="Georgia" w:hAnsi="Georgia"/>
          <w:sz w:val="22"/>
          <w:szCs w:val="22"/>
        </w:rPr>
        <w:t xml:space="preserve">Ved utgangen av T3 </w:t>
      </w:r>
      <w:r w:rsidR="008B14CE">
        <w:rPr>
          <w:rFonts w:ascii="Georgia" w:hAnsi="Georgia"/>
          <w:sz w:val="22"/>
          <w:szCs w:val="22"/>
        </w:rPr>
        <w:t xml:space="preserve">var det et akkumulert underforbruk på 3,4 mill. som i hovedsak skyldes avslutningen av et fellesløfteprosjekt med underskudd på 2,2 mill. Det øvrige avviket er i all hovedsak knyttet til feilkildene beskrevet over og i utgangspunktet ikke et uttrykk for reelle underskudd i prosjektene.. </w:t>
      </w:r>
      <w:r>
        <w:rPr>
          <w:rFonts w:ascii="Georgia" w:hAnsi="Georgia"/>
          <w:sz w:val="22"/>
          <w:szCs w:val="22"/>
        </w:rPr>
        <w:t xml:space="preserve"> </w:t>
      </w:r>
    </w:p>
    <w:p w14:paraId="2EE7DC0B" w14:textId="76334D4E" w:rsidR="00747762" w:rsidRPr="00747762" w:rsidRDefault="00316BFC" w:rsidP="00290163">
      <w:r w:rsidRPr="00316BFC">
        <w:lastRenderedPageBreak/>
        <w:drawing>
          <wp:inline distT="0" distB="0" distL="0" distR="0" wp14:anchorId="2929923D" wp14:editId="57689A9A">
            <wp:extent cx="8863330" cy="4623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623435"/>
                    </a:xfrm>
                    <a:prstGeom prst="rect">
                      <a:avLst/>
                    </a:prstGeom>
                  </pic:spPr>
                </pic:pic>
              </a:graphicData>
            </a:graphic>
          </wp:inline>
        </w:drawing>
      </w:r>
    </w:p>
    <w:p w14:paraId="469E8C09" w14:textId="77777777" w:rsidR="00627131" w:rsidRDefault="00627131">
      <w:pPr>
        <w:spacing w:after="200" w:line="276" w:lineRule="auto"/>
        <w:rPr>
          <w:rFonts w:ascii="Georgia" w:eastAsia="Calibri" w:hAnsi="Georgia" w:cs="Times New Roman"/>
          <w:sz w:val="20"/>
          <w:szCs w:val="20"/>
        </w:rPr>
      </w:pPr>
      <w:r>
        <w:rPr>
          <w:sz w:val="20"/>
          <w:szCs w:val="20"/>
        </w:rPr>
        <w:br w:type="page"/>
      </w:r>
    </w:p>
    <w:p w14:paraId="19A9AFCD" w14:textId="7777223F" w:rsidR="008B14CE" w:rsidRDefault="008B14CE" w:rsidP="00772521">
      <w:pPr>
        <w:pStyle w:val="Georgia11spacing10after"/>
        <w:rPr>
          <w:sz w:val="20"/>
          <w:szCs w:val="20"/>
          <w:lang w:val="nb-NO"/>
        </w:rPr>
      </w:pPr>
      <w:r w:rsidRPr="008B14CE">
        <w:rPr>
          <w:sz w:val="20"/>
          <w:szCs w:val="20"/>
          <w:highlight w:val="yellow"/>
          <w:lang w:val="nb-NO"/>
        </w:rPr>
        <w:lastRenderedPageBreak/>
        <w:t>Bestilling/ledetekst:</w:t>
      </w:r>
    </w:p>
    <w:p w14:paraId="7A290D7E" w14:textId="50A65F7A" w:rsidR="00FA2D27" w:rsidRPr="007C51E8" w:rsidRDefault="0033154C" w:rsidP="00772521">
      <w:pPr>
        <w:pStyle w:val="Georgia11spacing10after"/>
        <w:rPr>
          <w:sz w:val="20"/>
          <w:szCs w:val="20"/>
        </w:rPr>
      </w:pPr>
      <w:r w:rsidRPr="007C51E8">
        <w:rPr>
          <w:sz w:val="20"/>
          <w:szCs w:val="20"/>
          <w:lang w:val="nb-NO"/>
        </w:rPr>
        <w:t>[</w:t>
      </w:r>
      <w:r w:rsidR="00675226" w:rsidRPr="007C51E8">
        <w:rPr>
          <w:sz w:val="20"/>
          <w:szCs w:val="20"/>
        </w:rPr>
        <w:t xml:space="preserve">Rapporten </w:t>
      </w:r>
      <w:r w:rsidR="00772521" w:rsidRPr="007C51E8">
        <w:rPr>
          <w:sz w:val="20"/>
          <w:szCs w:val="20"/>
        </w:rPr>
        <w:t>skal beskrive enhetens økonomiske situasjon, med vektlegging av forhold med vesentlig betydning for enheten og UiOs ledelse.</w:t>
      </w:r>
    </w:p>
    <w:p w14:paraId="6E8AA8C3" w14:textId="77777777" w:rsidR="00C70698" w:rsidRPr="00C70698" w:rsidRDefault="00C70698" w:rsidP="00C70698">
      <w:pPr>
        <w:spacing w:after="200" w:line="276" w:lineRule="auto"/>
        <w:rPr>
          <w:rFonts w:ascii="Georgia" w:eastAsia="Calibri" w:hAnsi="Georgia" w:cs="Times New Roman"/>
          <w:sz w:val="20"/>
          <w:szCs w:val="20"/>
        </w:rPr>
      </w:pPr>
      <w:r w:rsidRPr="00C70698">
        <w:rPr>
          <w:rFonts w:ascii="Georgia" w:eastAsia="Calibri" w:hAnsi="Georgia" w:cs="Times New Roman"/>
          <w:sz w:val="20"/>
          <w:szCs w:val="20"/>
        </w:rPr>
        <w:t xml:space="preserve">Vi ber om en kort og overordnet vurdering av regnskapsresultatet 2022 og utviklingen i </w:t>
      </w:r>
      <w:proofErr w:type="spellStart"/>
      <w:r w:rsidRPr="00C70698">
        <w:rPr>
          <w:rFonts w:ascii="Georgia" w:eastAsia="Calibri" w:hAnsi="Georgia" w:cs="Times New Roman"/>
          <w:sz w:val="20"/>
          <w:szCs w:val="20"/>
        </w:rPr>
        <w:t>mindreforbruket</w:t>
      </w:r>
      <w:proofErr w:type="spellEnd"/>
      <w:r w:rsidRPr="00C70698">
        <w:rPr>
          <w:rFonts w:ascii="Georgia" w:eastAsia="Calibri" w:hAnsi="Georgia" w:cs="Times New Roman"/>
          <w:sz w:val="20"/>
          <w:szCs w:val="20"/>
        </w:rPr>
        <w:t xml:space="preserve"> sett opp mot tidligere års regnskaper og opprinnelige planer (årsbudsjett) for 2022. </w:t>
      </w:r>
    </w:p>
    <w:p w14:paraId="59B382B4" w14:textId="77777777" w:rsidR="00C70698" w:rsidRDefault="00C70698" w:rsidP="00C70698">
      <w:pPr>
        <w:spacing w:after="200" w:line="276" w:lineRule="auto"/>
        <w:rPr>
          <w:rFonts w:ascii="Georgia" w:eastAsia="Calibri" w:hAnsi="Georgia" w:cs="Times New Roman"/>
          <w:sz w:val="20"/>
          <w:szCs w:val="20"/>
        </w:rPr>
      </w:pPr>
      <w:r w:rsidRPr="00C70698">
        <w:rPr>
          <w:rFonts w:ascii="Georgia" w:eastAsia="Calibri" w:hAnsi="Georgia" w:cs="Times New Roman"/>
          <w:sz w:val="20"/>
          <w:szCs w:val="20"/>
        </w:rPr>
        <w:t>Vi ber også om en overordnet vurdering av hvordan forutsetninger og vurderinger vedr. de 5-årige prognosene eventuelt påvirkes av det endelige regnskapsresultatet 2022 og universitetsstyrets vedtak om justeringer i fordelingen for 2023.</w:t>
      </w:r>
    </w:p>
    <w:p w14:paraId="74FDF5F3" w14:textId="10459D62" w:rsidR="007E2EE6" w:rsidRPr="007C51E8" w:rsidRDefault="0033154C" w:rsidP="00C70698">
      <w:pPr>
        <w:spacing w:after="200" w:line="276" w:lineRule="auto"/>
        <w:rPr>
          <w:rFonts w:ascii="Georgia" w:hAnsi="Georgia"/>
          <w:sz w:val="20"/>
          <w:szCs w:val="20"/>
        </w:rPr>
      </w:pPr>
      <w:r w:rsidRPr="007C51E8">
        <w:rPr>
          <w:rFonts w:ascii="Georgia" w:hAnsi="Georgia"/>
          <w:sz w:val="20"/>
          <w:szCs w:val="20"/>
        </w:rPr>
        <w:t>F</w:t>
      </w:r>
      <w:r w:rsidR="007E2EE6" w:rsidRPr="007C51E8">
        <w:rPr>
          <w:rFonts w:ascii="Georgia" w:hAnsi="Georgia"/>
          <w:sz w:val="20"/>
          <w:szCs w:val="20"/>
        </w:rPr>
        <w:t xml:space="preserve">ølgende </w:t>
      </w:r>
      <w:r w:rsidR="00385F0D" w:rsidRPr="007C51E8">
        <w:rPr>
          <w:rFonts w:ascii="Georgia" w:hAnsi="Georgia"/>
          <w:sz w:val="20"/>
          <w:szCs w:val="20"/>
        </w:rPr>
        <w:t>s</w:t>
      </w:r>
      <w:r w:rsidR="007E2EE6" w:rsidRPr="007C51E8">
        <w:rPr>
          <w:rFonts w:ascii="Georgia" w:hAnsi="Georgia"/>
          <w:sz w:val="20"/>
          <w:szCs w:val="20"/>
        </w:rPr>
        <w:t>tandardtabell</w:t>
      </w:r>
      <w:r w:rsidR="00385F0D" w:rsidRPr="007C51E8">
        <w:rPr>
          <w:rFonts w:ascii="Georgia" w:hAnsi="Georgia"/>
          <w:sz w:val="20"/>
          <w:szCs w:val="20"/>
        </w:rPr>
        <w:t>er</w:t>
      </w:r>
      <w:r w:rsidR="007E2EE6" w:rsidRPr="007C51E8">
        <w:rPr>
          <w:rFonts w:ascii="Georgia" w:hAnsi="Georgia"/>
          <w:sz w:val="20"/>
          <w:szCs w:val="20"/>
        </w:rPr>
        <w:t xml:space="preserve"> for økonomisk utvikling skal inngå som del av ledelsesvurderingene .  Tabellen</w:t>
      </w:r>
      <w:r w:rsidR="00385F0D" w:rsidRPr="007C51E8">
        <w:rPr>
          <w:rFonts w:ascii="Georgia" w:hAnsi="Georgia"/>
          <w:sz w:val="20"/>
          <w:szCs w:val="20"/>
        </w:rPr>
        <w:t>e</w:t>
      </w:r>
      <w:r w:rsidR="007E2EE6" w:rsidRPr="007C51E8">
        <w:rPr>
          <w:rFonts w:ascii="Georgia" w:hAnsi="Georgia"/>
          <w:sz w:val="20"/>
          <w:szCs w:val="20"/>
        </w:rPr>
        <w:t xml:space="preserve"> hentes ut fra økonomisystemet iht</w:t>
      </w:r>
      <w:r w:rsidR="001412CB" w:rsidRPr="007C51E8">
        <w:rPr>
          <w:rFonts w:ascii="Georgia" w:hAnsi="Georgia"/>
          <w:sz w:val="20"/>
          <w:szCs w:val="20"/>
        </w:rPr>
        <w:t>.</w:t>
      </w:r>
      <w:r w:rsidR="007E2EE6" w:rsidRPr="007C51E8">
        <w:rPr>
          <w:rFonts w:ascii="Georgia" w:hAnsi="Georgia"/>
          <w:sz w:val="20"/>
          <w:szCs w:val="20"/>
        </w:rPr>
        <w:t xml:space="preserve"> nærmere veiledning i e-post til økonomilederne.]</w:t>
      </w:r>
    </w:p>
    <w:p w14:paraId="4DD16902" w14:textId="77777777" w:rsidR="00DC521B" w:rsidRPr="00DC521B" w:rsidRDefault="00DC521B" w:rsidP="00E9755E">
      <w:pPr>
        <w:pStyle w:val="Georgia11spacing10after"/>
        <w:spacing w:after="0"/>
        <w:rPr>
          <w:sz w:val="16"/>
          <w:szCs w:val="20"/>
          <w:lang w:val="nb-NO"/>
        </w:rPr>
      </w:pPr>
    </w:p>
    <w:p w14:paraId="75B643C5" w14:textId="637CA2DA" w:rsidR="00DC521B" w:rsidRPr="00126347" w:rsidRDefault="00B1014F" w:rsidP="00DC521B">
      <w:pPr>
        <w:rPr>
          <w:rFonts w:ascii="Georgia" w:hAnsi="Georgia"/>
          <w:b/>
          <w:sz w:val="20"/>
          <w:szCs w:val="20"/>
        </w:rPr>
      </w:pPr>
      <w:bookmarkStart w:id="0" w:name="_Hlk119912913"/>
      <w:r>
        <w:rPr>
          <w:rFonts w:ascii="Georgia" w:hAnsi="Georgia"/>
          <w:b/>
          <w:sz w:val="20"/>
          <w:szCs w:val="20"/>
        </w:rPr>
        <w:t>Bevilgningsvirksomheten</w:t>
      </w:r>
    </w:p>
    <w:tbl>
      <w:tblPr>
        <w:tblW w:w="5000" w:type="pct"/>
        <w:tblCellMar>
          <w:left w:w="70" w:type="dxa"/>
          <w:right w:w="70" w:type="dxa"/>
        </w:tblCellMar>
        <w:tblLook w:val="04A0" w:firstRow="1" w:lastRow="0" w:firstColumn="1" w:lastColumn="0" w:noHBand="0" w:noVBand="1"/>
      </w:tblPr>
      <w:tblGrid>
        <w:gridCol w:w="5284"/>
        <w:gridCol w:w="1512"/>
        <w:gridCol w:w="1308"/>
        <w:gridCol w:w="1724"/>
        <w:gridCol w:w="1571"/>
        <w:gridCol w:w="1308"/>
        <w:gridCol w:w="1241"/>
      </w:tblGrid>
      <w:tr w:rsidR="00B1014F" w:rsidRPr="00E3408D" w14:paraId="10678C5B" w14:textId="329E7E16" w:rsidTr="00B1014F">
        <w:trPr>
          <w:trHeight w:val="138"/>
        </w:trPr>
        <w:tc>
          <w:tcPr>
            <w:tcW w:w="1894" w:type="pct"/>
            <w:tcBorders>
              <w:top w:val="single" w:sz="4" w:space="0" w:color="auto"/>
              <w:left w:val="single" w:sz="4" w:space="0" w:color="auto"/>
              <w:bottom w:val="nil"/>
              <w:right w:val="nil"/>
            </w:tcBorders>
            <w:noWrap/>
            <w:vAlign w:val="bottom"/>
            <w:hideMark/>
          </w:tcPr>
          <w:p w14:paraId="6C52D8CC" w14:textId="77777777" w:rsidR="00B1014F" w:rsidRPr="00B1014F" w:rsidRDefault="00B1014F" w:rsidP="00B1014F">
            <w:pPr>
              <w:rPr>
                <w:rFonts w:eastAsia="SimSun"/>
                <w:sz w:val="14"/>
                <w:szCs w:val="14"/>
                <w:lang w:eastAsia="zh-CN"/>
              </w:rPr>
            </w:pPr>
          </w:p>
        </w:tc>
        <w:tc>
          <w:tcPr>
            <w:tcW w:w="542" w:type="pct"/>
            <w:tcBorders>
              <w:top w:val="single" w:sz="4" w:space="0" w:color="auto"/>
              <w:left w:val="single" w:sz="4" w:space="0" w:color="auto"/>
              <w:bottom w:val="nil"/>
              <w:right w:val="single" w:sz="4" w:space="0" w:color="auto"/>
            </w:tcBorders>
            <w:noWrap/>
            <w:vAlign w:val="bottom"/>
            <w:hideMark/>
          </w:tcPr>
          <w:p w14:paraId="4153EA3E" w14:textId="77777777"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69" w:type="pct"/>
            <w:tcBorders>
              <w:top w:val="single" w:sz="4" w:space="0" w:color="auto"/>
              <w:left w:val="nil"/>
              <w:bottom w:val="nil"/>
              <w:right w:val="single" w:sz="4" w:space="0" w:color="auto"/>
            </w:tcBorders>
            <w:noWrap/>
            <w:vAlign w:val="bottom"/>
            <w:hideMark/>
          </w:tcPr>
          <w:p w14:paraId="4B4E2829" w14:textId="77777777"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618" w:type="pct"/>
            <w:tcBorders>
              <w:top w:val="single" w:sz="4" w:space="0" w:color="auto"/>
              <w:left w:val="nil"/>
              <w:bottom w:val="nil"/>
              <w:right w:val="single" w:sz="4" w:space="0" w:color="auto"/>
            </w:tcBorders>
            <w:vAlign w:val="bottom"/>
          </w:tcPr>
          <w:p w14:paraId="13270D0E" w14:textId="05F55E97"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563" w:type="pct"/>
            <w:tcBorders>
              <w:top w:val="single" w:sz="4" w:space="0" w:color="auto"/>
              <w:left w:val="nil"/>
              <w:bottom w:val="nil"/>
              <w:right w:val="single" w:sz="4" w:space="0" w:color="auto"/>
            </w:tcBorders>
            <w:vAlign w:val="bottom"/>
          </w:tcPr>
          <w:p w14:paraId="5F54058E" w14:textId="1689E283"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69" w:type="pct"/>
            <w:tcBorders>
              <w:top w:val="single" w:sz="4" w:space="0" w:color="auto"/>
              <w:left w:val="nil"/>
              <w:bottom w:val="nil"/>
              <w:right w:val="single" w:sz="4" w:space="0" w:color="auto"/>
            </w:tcBorders>
            <w:vAlign w:val="bottom"/>
          </w:tcPr>
          <w:p w14:paraId="721EEA0D" w14:textId="0868FFC7"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45" w:type="pct"/>
            <w:tcBorders>
              <w:top w:val="single" w:sz="4" w:space="0" w:color="auto"/>
              <w:left w:val="nil"/>
              <w:bottom w:val="nil"/>
              <w:right w:val="single" w:sz="4" w:space="0" w:color="auto"/>
            </w:tcBorders>
            <w:vAlign w:val="bottom"/>
          </w:tcPr>
          <w:p w14:paraId="0557EE3C" w14:textId="602EF830"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Årsbudsjett</w:t>
            </w:r>
          </w:p>
        </w:tc>
      </w:tr>
      <w:tr w:rsidR="00B1014F" w:rsidRPr="00E3408D" w14:paraId="72AE0ADB" w14:textId="195B17EA" w:rsidTr="00B1014F">
        <w:trPr>
          <w:trHeight w:val="138"/>
        </w:trPr>
        <w:tc>
          <w:tcPr>
            <w:tcW w:w="1894" w:type="pct"/>
            <w:tcBorders>
              <w:top w:val="nil"/>
              <w:left w:val="single" w:sz="4" w:space="0" w:color="auto"/>
              <w:bottom w:val="single" w:sz="4" w:space="0" w:color="auto"/>
              <w:right w:val="nil"/>
            </w:tcBorders>
            <w:noWrap/>
            <w:vAlign w:val="bottom"/>
            <w:hideMark/>
          </w:tcPr>
          <w:p w14:paraId="6F804244" w14:textId="77777777" w:rsidR="00B1014F" w:rsidRDefault="00B1014F" w:rsidP="00B1014F">
            <w:pPr>
              <w:rPr>
                <w:rFonts w:eastAsia="Times New Roman"/>
                <w:color w:val="000000"/>
                <w:sz w:val="14"/>
                <w:szCs w:val="16"/>
                <w:lang w:eastAsia="zh-CN"/>
              </w:rPr>
            </w:pPr>
          </w:p>
        </w:tc>
        <w:tc>
          <w:tcPr>
            <w:tcW w:w="542" w:type="pct"/>
            <w:tcBorders>
              <w:top w:val="nil"/>
              <w:left w:val="single" w:sz="4" w:space="0" w:color="auto"/>
              <w:bottom w:val="single" w:sz="4" w:space="0" w:color="auto"/>
              <w:right w:val="single" w:sz="4" w:space="0" w:color="auto"/>
            </w:tcBorders>
            <w:noWrap/>
            <w:vAlign w:val="bottom"/>
            <w:hideMark/>
          </w:tcPr>
          <w:p w14:paraId="267B2849" w14:textId="3EDA6C11"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2018</w:t>
            </w:r>
          </w:p>
        </w:tc>
        <w:tc>
          <w:tcPr>
            <w:tcW w:w="469" w:type="pct"/>
            <w:tcBorders>
              <w:top w:val="nil"/>
              <w:left w:val="nil"/>
              <w:bottom w:val="single" w:sz="4" w:space="0" w:color="auto"/>
              <w:right w:val="single" w:sz="4" w:space="0" w:color="auto"/>
            </w:tcBorders>
            <w:noWrap/>
            <w:vAlign w:val="bottom"/>
            <w:hideMark/>
          </w:tcPr>
          <w:p w14:paraId="5DC53C7A" w14:textId="2F7ECB52"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2019</w:t>
            </w:r>
          </w:p>
        </w:tc>
        <w:tc>
          <w:tcPr>
            <w:tcW w:w="618" w:type="pct"/>
            <w:tcBorders>
              <w:top w:val="nil"/>
              <w:left w:val="nil"/>
              <w:bottom w:val="single" w:sz="4" w:space="0" w:color="auto"/>
              <w:right w:val="single" w:sz="4" w:space="0" w:color="auto"/>
            </w:tcBorders>
            <w:vAlign w:val="bottom"/>
          </w:tcPr>
          <w:p w14:paraId="36E6AAA0" w14:textId="313A7AB5"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2020</w:t>
            </w:r>
          </w:p>
        </w:tc>
        <w:tc>
          <w:tcPr>
            <w:tcW w:w="563" w:type="pct"/>
            <w:tcBorders>
              <w:top w:val="nil"/>
              <w:left w:val="nil"/>
              <w:bottom w:val="single" w:sz="4" w:space="0" w:color="auto"/>
              <w:right w:val="single" w:sz="4" w:space="0" w:color="auto"/>
            </w:tcBorders>
            <w:vAlign w:val="bottom"/>
          </w:tcPr>
          <w:p w14:paraId="2653ABC4" w14:textId="6E160E35"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2021</w:t>
            </w:r>
          </w:p>
        </w:tc>
        <w:tc>
          <w:tcPr>
            <w:tcW w:w="469" w:type="pct"/>
            <w:tcBorders>
              <w:top w:val="nil"/>
              <w:left w:val="nil"/>
              <w:bottom w:val="single" w:sz="4" w:space="0" w:color="auto"/>
              <w:right w:val="single" w:sz="4" w:space="0" w:color="auto"/>
            </w:tcBorders>
            <w:vAlign w:val="bottom"/>
          </w:tcPr>
          <w:p w14:paraId="28F12CAC" w14:textId="416DDB4D"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2022</w:t>
            </w:r>
          </w:p>
        </w:tc>
        <w:tc>
          <w:tcPr>
            <w:tcW w:w="445" w:type="pct"/>
            <w:tcBorders>
              <w:top w:val="nil"/>
              <w:left w:val="nil"/>
              <w:bottom w:val="single" w:sz="4" w:space="0" w:color="auto"/>
              <w:right w:val="single" w:sz="4" w:space="0" w:color="auto"/>
            </w:tcBorders>
          </w:tcPr>
          <w:p w14:paraId="56B1349D" w14:textId="388DDDA5" w:rsidR="00B1014F" w:rsidRDefault="00B1014F" w:rsidP="00B1014F">
            <w:pPr>
              <w:jc w:val="center"/>
              <w:rPr>
                <w:rFonts w:eastAsia="Times New Roman"/>
                <w:b/>
                <w:bCs/>
                <w:color w:val="000000"/>
                <w:sz w:val="14"/>
                <w:szCs w:val="16"/>
                <w:lang w:eastAsia="zh-CN"/>
              </w:rPr>
            </w:pPr>
            <w:r>
              <w:rPr>
                <w:rFonts w:eastAsia="Times New Roman"/>
                <w:b/>
                <w:bCs/>
                <w:color w:val="000000"/>
                <w:sz w:val="14"/>
                <w:szCs w:val="16"/>
                <w:lang w:eastAsia="zh-CN"/>
              </w:rPr>
              <w:t>2022</w:t>
            </w:r>
          </w:p>
        </w:tc>
      </w:tr>
      <w:tr w:rsidR="00B1014F" w:rsidRPr="00E3408D" w14:paraId="45AEDD63" w14:textId="673C453F" w:rsidTr="00B1014F">
        <w:trPr>
          <w:trHeight w:val="54"/>
        </w:trPr>
        <w:tc>
          <w:tcPr>
            <w:tcW w:w="1894" w:type="pct"/>
            <w:tcBorders>
              <w:top w:val="nil"/>
              <w:left w:val="single" w:sz="4" w:space="0" w:color="auto"/>
              <w:bottom w:val="single" w:sz="4" w:space="0" w:color="auto"/>
              <w:right w:val="single" w:sz="4" w:space="0" w:color="auto"/>
            </w:tcBorders>
            <w:noWrap/>
            <w:hideMark/>
          </w:tcPr>
          <w:p w14:paraId="19E35B0A" w14:textId="77777777" w:rsidR="00B1014F" w:rsidRPr="00BC67B1" w:rsidRDefault="00B1014F" w:rsidP="00B1014F">
            <w:pPr>
              <w:rPr>
                <w:rFonts w:eastAsia="Times New Roman"/>
                <w:color w:val="000000"/>
                <w:sz w:val="14"/>
                <w:szCs w:val="16"/>
                <w:lang w:eastAsia="zh-CN"/>
              </w:rPr>
            </w:pPr>
            <w:r>
              <w:rPr>
                <w:rFonts w:eastAsia="Times New Roman"/>
                <w:color w:val="000000"/>
                <w:sz w:val="14"/>
                <w:szCs w:val="16"/>
                <w:lang w:eastAsia="zh-CN"/>
              </w:rPr>
              <w:t>Inntekter</w:t>
            </w:r>
          </w:p>
        </w:tc>
        <w:tc>
          <w:tcPr>
            <w:tcW w:w="542" w:type="pct"/>
            <w:tcBorders>
              <w:top w:val="nil"/>
              <w:left w:val="nil"/>
              <w:bottom w:val="single" w:sz="4" w:space="0" w:color="auto"/>
              <w:right w:val="single" w:sz="4" w:space="0" w:color="auto"/>
            </w:tcBorders>
            <w:noWrap/>
            <w:hideMark/>
          </w:tcPr>
          <w:p w14:paraId="42283C44"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noWrap/>
            <w:hideMark/>
          </w:tcPr>
          <w:p w14:paraId="1C9CC7EF" w14:textId="77777777" w:rsidR="00B1014F" w:rsidRDefault="00B1014F" w:rsidP="00B1014F">
            <w:pPr>
              <w:rPr>
                <w:rFonts w:eastAsia="Times New Roman"/>
                <w:color w:val="000000"/>
                <w:sz w:val="14"/>
                <w:szCs w:val="16"/>
                <w:lang w:eastAsia="zh-CN"/>
              </w:rPr>
            </w:pPr>
          </w:p>
        </w:tc>
        <w:tc>
          <w:tcPr>
            <w:tcW w:w="618" w:type="pct"/>
            <w:tcBorders>
              <w:top w:val="nil"/>
              <w:left w:val="nil"/>
              <w:bottom w:val="single" w:sz="4" w:space="0" w:color="auto"/>
              <w:right w:val="single" w:sz="4" w:space="0" w:color="auto"/>
            </w:tcBorders>
          </w:tcPr>
          <w:p w14:paraId="2C53CCF7"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2ED9FA88"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3A4E929C"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0E397667" w14:textId="77777777" w:rsidR="00B1014F" w:rsidRDefault="00B1014F" w:rsidP="00B1014F">
            <w:pPr>
              <w:rPr>
                <w:rFonts w:eastAsia="Times New Roman"/>
                <w:color w:val="000000"/>
                <w:sz w:val="14"/>
                <w:szCs w:val="16"/>
                <w:lang w:eastAsia="zh-CN"/>
              </w:rPr>
            </w:pPr>
          </w:p>
        </w:tc>
      </w:tr>
      <w:tr w:rsidR="00B1014F" w:rsidRPr="00E3408D" w14:paraId="7FB1B0EE" w14:textId="4D801234"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606FF654" w14:textId="77777777" w:rsidR="00B1014F" w:rsidRPr="00BC67B1" w:rsidRDefault="00B1014F" w:rsidP="00B1014F">
            <w:pPr>
              <w:rPr>
                <w:rFonts w:eastAsia="Times New Roman"/>
                <w:color w:val="000000"/>
                <w:sz w:val="14"/>
                <w:szCs w:val="16"/>
                <w:lang w:eastAsia="zh-CN"/>
              </w:rPr>
            </w:pPr>
            <w:r>
              <w:rPr>
                <w:rFonts w:eastAsia="Times New Roman"/>
                <w:color w:val="000000"/>
                <w:sz w:val="14"/>
                <w:szCs w:val="16"/>
                <w:lang w:eastAsia="zh-CN"/>
              </w:rPr>
              <w:t>Personalkost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42" w:type="pct"/>
            <w:tcBorders>
              <w:top w:val="nil"/>
              <w:left w:val="nil"/>
              <w:bottom w:val="single" w:sz="4" w:space="0" w:color="auto"/>
              <w:right w:val="single" w:sz="4" w:space="0" w:color="auto"/>
            </w:tcBorders>
            <w:noWrap/>
            <w:vAlign w:val="bottom"/>
            <w:hideMark/>
          </w:tcPr>
          <w:p w14:paraId="4249ECC7"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290D563A"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3D8D003A"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21B8FA87"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0F2989B9"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454724FD" w14:textId="77777777" w:rsidR="00B1014F" w:rsidRDefault="00B1014F" w:rsidP="00B1014F">
            <w:pPr>
              <w:rPr>
                <w:rFonts w:eastAsia="Times New Roman"/>
                <w:color w:val="000000"/>
                <w:sz w:val="14"/>
                <w:szCs w:val="16"/>
                <w:lang w:eastAsia="zh-CN"/>
              </w:rPr>
            </w:pPr>
          </w:p>
        </w:tc>
      </w:tr>
      <w:tr w:rsidR="00B1014F" w:rsidRPr="00E3408D" w14:paraId="656EB1C5" w14:textId="5562DE6B"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5EDD8DB3" w14:textId="77777777" w:rsidR="00B1014F" w:rsidRPr="00BC67B1" w:rsidRDefault="00B1014F" w:rsidP="00B1014F">
            <w:pPr>
              <w:rPr>
                <w:rFonts w:eastAsia="Times New Roman"/>
                <w:color w:val="000000"/>
                <w:sz w:val="14"/>
                <w:szCs w:val="16"/>
                <w:lang w:eastAsia="zh-CN"/>
              </w:rPr>
            </w:pPr>
            <w:r>
              <w:rPr>
                <w:rFonts w:eastAsia="Times New Roman"/>
                <w:color w:val="000000"/>
                <w:sz w:val="14"/>
                <w:szCs w:val="16"/>
                <w:lang w:eastAsia="zh-CN"/>
              </w:rPr>
              <w:t>Driftskost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542" w:type="pct"/>
            <w:tcBorders>
              <w:top w:val="nil"/>
              <w:left w:val="nil"/>
              <w:bottom w:val="single" w:sz="4" w:space="0" w:color="auto"/>
              <w:right w:val="single" w:sz="4" w:space="0" w:color="auto"/>
            </w:tcBorders>
            <w:noWrap/>
            <w:vAlign w:val="bottom"/>
            <w:hideMark/>
          </w:tcPr>
          <w:p w14:paraId="7491F3F3"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1E48AF02"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10CF42D9"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6AFCF731"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41CDD62D"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4CFB86E9" w14:textId="77777777" w:rsidR="00B1014F" w:rsidRDefault="00B1014F" w:rsidP="00B1014F">
            <w:pPr>
              <w:rPr>
                <w:rFonts w:eastAsia="Times New Roman"/>
                <w:color w:val="000000"/>
                <w:sz w:val="14"/>
                <w:szCs w:val="16"/>
                <w:lang w:eastAsia="zh-CN"/>
              </w:rPr>
            </w:pPr>
          </w:p>
        </w:tc>
      </w:tr>
      <w:tr w:rsidR="00B1014F" w:rsidRPr="00E3408D" w14:paraId="5DABA6B3" w14:textId="687382E4"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62A6CECC" w14:textId="77777777" w:rsidR="00B1014F" w:rsidRPr="00BC67B1" w:rsidRDefault="00B1014F" w:rsidP="00B1014F">
            <w:pPr>
              <w:rPr>
                <w:rFonts w:eastAsia="Times New Roman"/>
                <w:color w:val="000000"/>
                <w:sz w:val="14"/>
                <w:szCs w:val="16"/>
                <w:lang w:eastAsia="zh-CN"/>
              </w:rPr>
            </w:pPr>
            <w:r w:rsidRPr="00BC67B1">
              <w:rPr>
                <w:rFonts w:eastAsia="Times New Roman"/>
                <w:color w:val="000000"/>
                <w:sz w:val="14"/>
                <w:szCs w:val="16"/>
                <w:lang w:eastAsia="zh-CN"/>
              </w:rPr>
              <w:t>Investeringer</w:t>
            </w:r>
          </w:p>
        </w:tc>
        <w:tc>
          <w:tcPr>
            <w:tcW w:w="542" w:type="pct"/>
            <w:tcBorders>
              <w:top w:val="nil"/>
              <w:left w:val="nil"/>
              <w:bottom w:val="single" w:sz="4" w:space="0" w:color="auto"/>
              <w:right w:val="single" w:sz="4" w:space="0" w:color="auto"/>
            </w:tcBorders>
            <w:noWrap/>
            <w:vAlign w:val="bottom"/>
            <w:hideMark/>
          </w:tcPr>
          <w:p w14:paraId="34584818"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39D28E58"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23D8030E"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00A83411"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26E9EF44"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32715466" w14:textId="77777777" w:rsidR="00B1014F" w:rsidRDefault="00B1014F" w:rsidP="00B1014F">
            <w:pPr>
              <w:rPr>
                <w:rFonts w:eastAsia="Times New Roman"/>
                <w:color w:val="000000"/>
                <w:sz w:val="14"/>
                <w:szCs w:val="16"/>
                <w:lang w:eastAsia="zh-CN"/>
              </w:rPr>
            </w:pPr>
          </w:p>
        </w:tc>
      </w:tr>
      <w:tr w:rsidR="00B1014F" w:rsidRPr="00E3408D" w14:paraId="51EB75A4" w14:textId="40BF924A" w:rsidTr="00B1014F">
        <w:trPr>
          <w:trHeight w:val="138"/>
        </w:trPr>
        <w:tc>
          <w:tcPr>
            <w:tcW w:w="1894" w:type="pct"/>
            <w:tcBorders>
              <w:top w:val="nil"/>
              <w:left w:val="single" w:sz="4" w:space="0" w:color="auto"/>
              <w:bottom w:val="single" w:sz="4" w:space="0" w:color="auto"/>
              <w:right w:val="single" w:sz="4" w:space="0" w:color="auto"/>
            </w:tcBorders>
            <w:shd w:val="clear" w:color="auto" w:fill="D9D9D9"/>
            <w:noWrap/>
            <w:vAlign w:val="bottom"/>
            <w:hideMark/>
          </w:tcPr>
          <w:p w14:paraId="1D270DFA" w14:textId="77777777" w:rsidR="00B1014F" w:rsidRPr="00A03F03" w:rsidRDefault="00B1014F" w:rsidP="00B1014F">
            <w:pPr>
              <w:rPr>
                <w:rFonts w:eastAsia="Times New Roman"/>
                <w:b/>
                <w:bCs/>
                <w:color w:val="000000"/>
                <w:sz w:val="14"/>
                <w:szCs w:val="14"/>
                <w:lang w:eastAsia="zh-CN"/>
              </w:rPr>
            </w:pPr>
            <w:r w:rsidRPr="00A03F03">
              <w:rPr>
                <w:rFonts w:eastAsia="Times New Roman"/>
                <w:b/>
                <w:bCs/>
                <w:color w:val="000000"/>
                <w:sz w:val="14"/>
                <w:szCs w:val="14"/>
                <w:lang w:eastAsia="zh-CN"/>
              </w:rPr>
              <w:t>Isolert mer-/</w:t>
            </w:r>
            <w:proofErr w:type="spellStart"/>
            <w:r w:rsidRPr="00A03F03">
              <w:rPr>
                <w:rFonts w:eastAsia="Times New Roman"/>
                <w:b/>
                <w:bCs/>
                <w:color w:val="000000"/>
                <w:sz w:val="14"/>
                <w:szCs w:val="14"/>
                <w:lang w:eastAsia="zh-CN"/>
              </w:rPr>
              <w:t>mindreforbruk</w:t>
            </w:r>
            <w:proofErr w:type="spellEnd"/>
            <w:r w:rsidRPr="00A03F03">
              <w:rPr>
                <w:rFonts w:eastAsia="Times New Roman"/>
                <w:b/>
                <w:bCs/>
                <w:color w:val="000000"/>
                <w:sz w:val="14"/>
                <w:szCs w:val="14"/>
                <w:lang w:eastAsia="zh-CN"/>
              </w:rPr>
              <w:t xml:space="preserve"> uten nettobidrag og prosjektavslutning</w:t>
            </w:r>
          </w:p>
        </w:tc>
        <w:tc>
          <w:tcPr>
            <w:tcW w:w="542" w:type="pct"/>
            <w:tcBorders>
              <w:top w:val="nil"/>
              <w:left w:val="nil"/>
              <w:bottom w:val="single" w:sz="4" w:space="0" w:color="auto"/>
              <w:right w:val="single" w:sz="4" w:space="0" w:color="auto"/>
            </w:tcBorders>
            <w:shd w:val="clear" w:color="auto" w:fill="D9D9D9"/>
            <w:noWrap/>
            <w:vAlign w:val="bottom"/>
            <w:hideMark/>
          </w:tcPr>
          <w:p w14:paraId="7E4FE757"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shd w:val="clear" w:color="auto" w:fill="D9D9D9"/>
            <w:noWrap/>
            <w:vAlign w:val="bottom"/>
            <w:hideMark/>
          </w:tcPr>
          <w:p w14:paraId="5A6AE54C"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shd w:val="clear" w:color="auto" w:fill="D9D9D9"/>
          </w:tcPr>
          <w:p w14:paraId="027B64DC"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shd w:val="clear" w:color="auto" w:fill="D9D9D9"/>
          </w:tcPr>
          <w:p w14:paraId="2F090BAA"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6D4DA684"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shd w:val="clear" w:color="auto" w:fill="D9D9D9"/>
          </w:tcPr>
          <w:p w14:paraId="105BF46E" w14:textId="77777777" w:rsidR="00B1014F" w:rsidRDefault="00B1014F" w:rsidP="00B1014F">
            <w:pPr>
              <w:rPr>
                <w:rFonts w:eastAsia="Times New Roman"/>
                <w:color w:val="000000"/>
                <w:sz w:val="14"/>
                <w:szCs w:val="16"/>
                <w:lang w:eastAsia="zh-CN"/>
              </w:rPr>
            </w:pPr>
          </w:p>
        </w:tc>
      </w:tr>
      <w:tr w:rsidR="00B1014F" w:rsidRPr="00E3408D" w14:paraId="072A8303" w14:textId="32BCE7BE"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510CF708" w14:textId="77777777" w:rsidR="00B1014F" w:rsidRPr="00BC67B1" w:rsidRDefault="00B1014F" w:rsidP="00B1014F">
            <w:pPr>
              <w:rPr>
                <w:rFonts w:eastAsia="Times New Roman"/>
                <w:color w:val="000000"/>
                <w:sz w:val="14"/>
                <w:szCs w:val="16"/>
                <w:lang w:eastAsia="zh-CN"/>
              </w:rPr>
            </w:pPr>
            <w:r w:rsidRPr="00BC67B1">
              <w:rPr>
                <w:rFonts w:eastAsia="Times New Roman"/>
                <w:color w:val="000000"/>
                <w:sz w:val="14"/>
                <w:szCs w:val="16"/>
                <w:lang w:eastAsia="zh-CN"/>
              </w:rPr>
              <w:t>Nettobidrag</w:t>
            </w:r>
          </w:p>
        </w:tc>
        <w:tc>
          <w:tcPr>
            <w:tcW w:w="542" w:type="pct"/>
            <w:tcBorders>
              <w:top w:val="nil"/>
              <w:left w:val="nil"/>
              <w:bottom w:val="single" w:sz="4" w:space="0" w:color="auto"/>
              <w:right w:val="single" w:sz="4" w:space="0" w:color="auto"/>
            </w:tcBorders>
            <w:noWrap/>
            <w:vAlign w:val="bottom"/>
            <w:hideMark/>
          </w:tcPr>
          <w:p w14:paraId="796DE1AB"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07774F51"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6BE7256A"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778695AB"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5302D059"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14133E51" w14:textId="77777777" w:rsidR="00B1014F" w:rsidRDefault="00B1014F" w:rsidP="00B1014F">
            <w:pPr>
              <w:rPr>
                <w:rFonts w:eastAsia="Times New Roman"/>
                <w:color w:val="000000"/>
                <w:sz w:val="14"/>
                <w:szCs w:val="16"/>
                <w:lang w:eastAsia="zh-CN"/>
              </w:rPr>
            </w:pPr>
          </w:p>
        </w:tc>
      </w:tr>
      <w:tr w:rsidR="00B1014F" w:rsidRPr="00E3408D" w14:paraId="0E1D6F58" w14:textId="414A582E"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04F0C07E" w14:textId="77777777" w:rsidR="00B1014F" w:rsidRPr="00BC67B1" w:rsidRDefault="00B1014F" w:rsidP="00B1014F">
            <w:pPr>
              <w:rPr>
                <w:rFonts w:eastAsia="Times New Roman"/>
                <w:color w:val="000000"/>
                <w:sz w:val="14"/>
                <w:szCs w:val="16"/>
                <w:lang w:eastAsia="zh-CN"/>
              </w:rPr>
            </w:pPr>
            <w:r w:rsidRPr="00BC67B1">
              <w:rPr>
                <w:rFonts w:eastAsia="Times New Roman"/>
                <w:color w:val="000000"/>
                <w:sz w:val="14"/>
                <w:szCs w:val="16"/>
                <w:lang w:eastAsia="zh-CN"/>
              </w:rPr>
              <w:t>Prosjektavslutni</w:t>
            </w:r>
            <w:r>
              <w:rPr>
                <w:rFonts w:eastAsia="Times New Roman"/>
                <w:color w:val="000000"/>
                <w:sz w:val="14"/>
                <w:szCs w:val="16"/>
                <w:lang w:eastAsia="zh-CN"/>
              </w:rPr>
              <w:t>n</w:t>
            </w:r>
            <w:r w:rsidRPr="00BC67B1">
              <w:rPr>
                <w:rFonts w:eastAsia="Times New Roman"/>
                <w:color w:val="000000"/>
                <w:sz w:val="14"/>
                <w:szCs w:val="16"/>
                <w:lang w:eastAsia="zh-CN"/>
              </w:rPr>
              <w:t>g</w:t>
            </w:r>
          </w:p>
        </w:tc>
        <w:tc>
          <w:tcPr>
            <w:tcW w:w="542" w:type="pct"/>
            <w:tcBorders>
              <w:top w:val="nil"/>
              <w:left w:val="nil"/>
              <w:bottom w:val="single" w:sz="4" w:space="0" w:color="auto"/>
              <w:right w:val="single" w:sz="4" w:space="0" w:color="auto"/>
            </w:tcBorders>
            <w:noWrap/>
            <w:vAlign w:val="bottom"/>
            <w:hideMark/>
          </w:tcPr>
          <w:p w14:paraId="2315504E"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03B69276"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34814703"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0F884D33"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46D85107"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5C25C3BC" w14:textId="77777777" w:rsidR="00B1014F" w:rsidRDefault="00B1014F" w:rsidP="00B1014F">
            <w:pPr>
              <w:rPr>
                <w:rFonts w:eastAsia="Times New Roman"/>
                <w:color w:val="000000"/>
                <w:sz w:val="14"/>
                <w:szCs w:val="16"/>
                <w:lang w:eastAsia="zh-CN"/>
              </w:rPr>
            </w:pPr>
          </w:p>
        </w:tc>
      </w:tr>
      <w:tr w:rsidR="00B1014F" w:rsidRPr="00E3408D" w14:paraId="7D12D14C" w14:textId="2FD2FA22" w:rsidTr="00B1014F">
        <w:trPr>
          <w:trHeight w:val="138"/>
        </w:trPr>
        <w:tc>
          <w:tcPr>
            <w:tcW w:w="1894" w:type="pct"/>
            <w:tcBorders>
              <w:top w:val="nil"/>
              <w:left w:val="single" w:sz="4" w:space="0" w:color="auto"/>
              <w:bottom w:val="single" w:sz="4" w:space="0" w:color="auto"/>
              <w:right w:val="single" w:sz="4" w:space="0" w:color="auto"/>
            </w:tcBorders>
            <w:shd w:val="clear" w:color="auto" w:fill="D9D9D9"/>
            <w:noWrap/>
            <w:vAlign w:val="bottom"/>
            <w:hideMark/>
          </w:tcPr>
          <w:p w14:paraId="1A453878" w14:textId="77777777" w:rsidR="00B1014F" w:rsidRPr="00BC67B1" w:rsidRDefault="00B1014F" w:rsidP="00B1014F">
            <w:pPr>
              <w:rPr>
                <w:rFonts w:eastAsia="Times New Roman"/>
                <w:b/>
                <w:bCs/>
                <w:color w:val="000000"/>
                <w:sz w:val="14"/>
                <w:szCs w:val="16"/>
                <w:lang w:eastAsia="zh-CN"/>
              </w:rPr>
            </w:pPr>
            <w:r w:rsidRPr="00A03F03">
              <w:rPr>
                <w:rFonts w:eastAsia="Times New Roman"/>
                <w:b/>
                <w:bCs/>
                <w:color w:val="000000"/>
                <w:sz w:val="14"/>
                <w:szCs w:val="16"/>
                <w:lang w:eastAsia="zh-CN"/>
              </w:rPr>
              <w:t>Isolert mer-/</w:t>
            </w:r>
            <w:proofErr w:type="spellStart"/>
            <w:r w:rsidRPr="00A03F03">
              <w:rPr>
                <w:rFonts w:eastAsia="Times New Roman"/>
                <w:b/>
                <w:bCs/>
                <w:color w:val="000000"/>
                <w:sz w:val="14"/>
                <w:szCs w:val="16"/>
                <w:lang w:eastAsia="zh-CN"/>
              </w:rPr>
              <w:t>mindreforbruk</w:t>
            </w:r>
            <w:proofErr w:type="spellEnd"/>
          </w:p>
        </w:tc>
        <w:tc>
          <w:tcPr>
            <w:tcW w:w="542" w:type="pct"/>
            <w:tcBorders>
              <w:top w:val="nil"/>
              <w:left w:val="nil"/>
              <w:bottom w:val="single" w:sz="4" w:space="0" w:color="auto"/>
              <w:right w:val="single" w:sz="4" w:space="0" w:color="auto"/>
            </w:tcBorders>
            <w:shd w:val="clear" w:color="auto" w:fill="D9D9D9"/>
            <w:noWrap/>
            <w:vAlign w:val="bottom"/>
            <w:hideMark/>
          </w:tcPr>
          <w:p w14:paraId="6C942197"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shd w:val="clear" w:color="auto" w:fill="D9D9D9"/>
            <w:noWrap/>
            <w:vAlign w:val="bottom"/>
            <w:hideMark/>
          </w:tcPr>
          <w:p w14:paraId="09D9A16F"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shd w:val="clear" w:color="auto" w:fill="D9D9D9"/>
          </w:tcPr>
          <w:p w14:paraId="08C09F19"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shd w:val="clear" w:color="auto" w:fill="D9D9D9"/>
          </w:tcPr>
          <w:p w14:paraId="3FF92706"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429480E7"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shd w:val="clear" w:color="auto" w:fill="D9D9D9"/>
          </w:tcPr>
          <w:p w14:paraId="4BD2C756" w14:textId="77777777" w:rsidR="00B1014F" w:rsidRDefault="00B1014F" w:rsidP="00B1014F">
            <w:pPr>
              <w:rPr>
                <w:rFonts w:eastAsia="Times New Roman"/>
                <w:color w:val="000000"/>
                <w:sz w:val="14"/>
                <w:szCs w:val="16"/>
                <w:lang w:eastAsia="zh-CN"/>
              </w:rPr>
            </w:pPr>
          </w:p>
        </w:tc>
      </w:tr>
      <w:tr w:rsidR="00B1014F" w:rsidRPr="00E3408D" w14:paraId="1F9EE377" w14:textId="7036180A" w:rsidTr="00B1014F">
        <w:trPr>
          <w:trHeight w:val="138"/>
        </w:trPr>
        <w:tc>
          <w:tcPr>
            <w:tcW w:w="1894" w:type="pct"/>
            <w:tcBorders>
              <w:top w:val="nil"/>
              <w:left w:val="single" w:sz="4" w:space="0" w:color="auto"/>
              <w:bottom w:val="single" w:sz="4" w:space="0" w:color="auto"/>
              <w:right w:val="single" w:sz="4" w:space="0" w:color="auto"/>
            </w:tcBorders>
            <w:noWrap/>
            <w:vAlign w:val="bottom"/>
            <w:hideMark/>
          </w:tcPr>
          <w:p w14:paraId="55F456BB" w14:textId="77777777" w:rsidR="00B1014F" w:rsidRPr="00BC67B1" w:rsidRDefault="00B1014F" w:rsidP="00B1014F">
            <w:pPr>
              <w:rPr>
                <w:rFonts w:eastAsia="Times New Roman"/>
                <w:color w:val="000000"/>
                <w:sz w:val="14"/>
                <w:szCs w:val="16"/>
                <w:lang w:eastAsia="zh-CN"/>
              </w:rPr>
            </w:pPr>
            <w:r w:rsidRPr="00BC67B1">
              <w:rPr>
                <w:rFonts w:eastAsia="Times New Roman"/>
                <w:color w:val="000000"/>
                <w:sz w:val="14"/>
                <w:szCs w:val="16"/>
                <w:lang w:eastAsia="zh-CN"/>
              </w:rPr>
              <w:t>Overført fra i fjor</w:t>
            </w:r>
          </w:p>
        </w:tc>
        <w:tc>
          <w:tcPr>
            <w:tcW w:w="542" w:type="pct"/>
            <w:tcBorders>
              <w:top w:val="nil"/>
              <w:left w:val="nil"/>
              <w:bottom w:val="single" w:sz="4" w:space="0" w:color="auto"/>
              <w:right w:val="single" w:sz="4" w:space="0" w:color="auto"/>
            </w:tcBorders>
            <w:noWrap/>
            <w:vAlign w:val="bottom"/>
            <w:hideMark/>
          </w:tcPr>
          <w:p w14:paraId="19B0232C"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1541FD4B"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tcPr>
          <w:p w14:paraId="17B2D499"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tcPr>
          <w:p w14:paraId="3E55F7BB"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6F6727F1"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664523C1" w14:textId="77777777" w:rsidR="00B1014F" w:rsidRDefault="00B1014F" w:rsidP="00B1014F">
            <w:pPr>
              <w:rPr>
                <w:rFonts w:eastAsia="Times New Roman"/>
                <w:color w:val="000000"/>
                <w:sz w:val="14"/>
                <w:szCs w:val="16"/>
                <w:lang w:eastAsia="zh-CN"/>
              </w:rPr>
            </w:pPr>
          </w:p>
        </w:tc>
      </w:tr>
      <w:tr w:rsidR="00B1014F" w:rsidRPr="00E3408D" w14:paraId="23EADBDB" w14:textId="05798127" w:rsidTr="00B1014F">
        <w:trPr>
          <w:trHeight w:val="138"/>
        </w:trPr>
        <w:tc>
          <w:tcPr>
            <w:tcW w:w="1894" w:type="pct"/>
            <w:tcBorders>
              <w:top w:val="nil"/>
              <w:left w:val="single" w:sz="4" w:space="0" w:color="auto"/>
              <w:bottom w:val="single" w:sz="4" w:space="0" w:color="auto"/>
              <w:right w:val="single" w:sz="4" w:space="0" w:color="auto"/>
            </w:tcBorders>
            <w:shd w:val="clear" w:color="auto" w:fill="D9D9D9"/>
            <w:noWrap/>
            <w:vAlign w:val="bottom"/>
            <w:hideMark/>
          </w:tcPr>
          <w:p w14:paraId="2D890F11" w14:textId="77777777" w:rsidR="00B1014F" w:rsidRPr="00BC67B1" w:rsidRDefault="00B1014F" w:rsidP="00B1014F">
            <w:pPr>
              <w:rPr>
                <w:rFonts w:eastAsia="Times New Roman"/>
                <w:b/>
                <w:bCs/>
                <w:color w:val="000000"/>
                <w:sz w:val="14"/>
                <w:szCs w:val="16"/>
                <w:lang w:eastAsia="zh-CN"/>
              </w:rPr>
            </w:pPr>
            <w:r w:rsidRPr="00A03F03">
              <w:rPr>
                <w:rFonts w:eastAsia="Times New Roman"/>
                <w:b/>
                <w:bCs/>
                <w:color w:val="000000"/>
                <w:sz w:val="14"/>
                <w:szCs w:val="16"/>
                <w:lang w:eastAsia="zh-CN"/>
              </w:rPr>
              <w:t>Akkumulert mer-/</w:t>
            </w:r>
            <w:proofErr w:type="spellStart"/>
            <w:r w:rsidRPr="00A03F03">
              <w:rPr>
                <w:rFonts w:eastAsia="Times New Roman"/>
                <w:b/>
                <w:bCs/>
                <w:color w:val="000000"/>
                <w:sz w:val="14"/>
                <w:szCs w:val="16"/>
                <w:lang w:eastAsia="zh-CN"/>
              </w:rPr>
              <w:t>mindreforbruk</w:t>
            </w:r>
            <w:proofErr w:type="spellEnd"/>
          </w:p>
        </w:tc>
        <w:tc>
          <w:tcPr>
            <w:tcW w:w="542" w:type="pct"/>
            <w:tcBorders>
              <w:top w:val="nil"/>
              <w:left w:val="nil"/>
              <w:bottom w:val="single" w:sz="4" w:space="0" w:color="auto"/>
              <w:right w:val="single" w:sz="4" w:space="0" w:color="auto"/>
            </w:tcBorders>
            <w:shd w:val="clear" w:color="auto" w:fill="D9D9D9"/>
            <w:noWrap/>
            <w:vAlign w:val="bottom"/>
            <w:hideMark/>
          </w:tcPr>
          <w:p w14:paraId="7E13D9E9"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shd w:val="clear" w:color="auto" w:fill="D9D9D9"/>
            <w:noWrap/>
            <w:vAlign w:val="bottom"/>
            <w:hideMark/>
          </w:tcPr>
          <w:p w14:paraId="5A9BBE92" w14:textId="77777777" w:rsidR="00B1014F" w:rsidRDefault="00B1014F" w:rsidP="00B1014F">
            <w:pPr>
              <w:rPr>
                <w:rFonts w:eastAsia="Times New Roman"/>
                <w:color w:val="000000"/>
                <w:sz w:val="14"/>
                <w:szCs w:val="16"/>
                <w:lang w:eastAsia="zh-CN"/>
              </w:rPr>
            </w:pPr>
            <w:r>
              <w:rPr>
                <w:rFonts w:eastAsia="Times New Roman"/>
                <w:color w:val="000000"/>
                <w:sz w:val="14"/>
                <w:szCs w:val="16"/>
                <w:lang w:eastAsia="zh-CN"/>
              </w:rPr>
              <w:t> </w:t>
            </w:r>
          </w:p>
        </w:tc>
        <w:tc>
          <w:tcPr>
            <w:tcW w:w="618" w:type="pct"/>
            <w:tcBorders>
              <w:top w:val="nil"/>
              <w:left w:val="nil"/>
              <w:bottom w:val="single" w:sz="4" w:space="0" w:color="auto"/>
              <w:right w:val="single" w:sz="4" w:space="0" w:color="auto"/>
            </w:tcBorders>
            <w:shd w:val="clear" w:color="auto" w:fill="D9D9D9"/>
          </w:tcPr>
          <w:p w14:paraId="0ED02241" w14:textId="77777777" w:rsidR="00B1014F" w:rsidRDefault="00B1014F" w:rsidP="00B1014F">
            <w:pPr>
              <w:rPr>
                <w:rFonts w:eastAsia="Times New Roman"/>
                <w:color w:val="000000"/>
                <w:sz w:val="14"/>
                <w:szCs w:val="16"/>
                <w:lang w:eastAsia="zh-CN"/>
              </w:rPr>
            </w:pPr>
          </w:p>
        </w:tc>
        <w:tc>
          <w:tcPr>
            <w:tcW w:w="563" w:type="pct"/>
            <w:tcBorders>
              <w:top w:val="nil"/>
              <w:left w:val="nil"/>
              <w:bottom w:val="single" w:sz="4" w:space="0" w:color="auto"/>
              <w:right w:val="single" w:sz="4" w:space="0" w:color="auto"/>
            </w:tcBorders>
            <w:shd w:val="clear" w:color="auto" w:fill="D9D9D9"/>
          </w:tcPr>
          <w:p w14:paraId="3BFD2F58" w14:textId="77777777" w:rsidR="00B1014F" w:rsidRDefault="00B1014F" w:rsidP="00B1014F">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7B0754AC" w14:textId="77777777" w:rsidR="00B1014F" w:rsidRDefault="00B1014F" w:rsidP="00B1014F">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shd w:val="clear" w:color="auto" w:fill="D9D9D9"/>
          </w:tcPr>
          <w:p w14:paraId="215C6713" w14:textId="77777777" w:rsidR="00B1014F" w:rsidRDefault="00B1014F" w:rsidP="00B1014F">
            <w:pPr>
              <w:rPr>
                <w:rFonts w:eastAsia="Times New Roman"/>
                <w:color w:val="000000"/>
                <w:sz w:val="14"/>
                <w:szCs w:val="16"/>
                <w:lang w:eastAsia="zh-CN"/>
              </w:rPr>
            </w:pPr>
          </w:p>
        </w:tc>
      </w:tr>
    </w:tbl>
    <w:p w14:paraId="04011ADB" w14:textId="77777777" w:rsidR="00DC521B" w:rsidRPr="00DC521B" w:rsidRDefault="00DC521B" w:rsidP="00DC521B">
      <w:pPr>
        <w:rPr>
          <w:rFonts w:ascii="Georgia" w:hAnsi="Georgia"/>
          <w:sz w:val="16"/>
        </w:rPr>
      </w:pPr>
    </w:p>
    <w:p w14:paraId="3970032C" w14:textId="3472D23B" w:rsidR="00DC521B" w:rsidRDefault="00B1014F" w:rsidP="00DC521B">
      <w:pPr>
        <w:rPr>
          <w:rFonts w:ascii="Georgia" w:hAnsi="Georgia"/>
          <w:b/>
          <w:sz w:val="20"/>
          <w:szCs w:val="20"/>
        </w:rPr>
      </w:pPr>
      <w:r>
        <w:rPr>
          <w:rFonts w:ascii="Georgia" w:hAnsi="Georgia"/>
          <w:b/>
          <w:sz w:val="20"/>
          <w:szCs w:val="20"/>
        </w:rPr>
        <w:t>BOA-virksomheten</w:t>
      </w:r>
    </w:p>
    <w:tbl>
      <w:tblPr>
        <w:tblW w:w="5000" w:type="pct"/>
        <w:tblCellMar>
          <w:left w:w="70" w:type="dxa"/>
          <w:right w:w="70" w:type="dxa"/>
        </w:tblCellMar>
        <w:tblLook w:val="04A0" w:firstRow="1" w:lastRow="0" w:firstColumn="1" w:lastColumn="0" w:noHBand="0" w:noVBand="1"/>
      </w:tblPr>
      <w:tblGrid>
        <w:gridCol w:w="6149"/>
        <w:gridCol w:w="1309"/>
        <w:gridCol w:w="1308"/>
        <w:gridCol w:w="1325"/>
        <w:gridCol w:w="1308"/>
        <w:gridCol w:w="1308"/>
        <w:gridCol w:w="1241"/>
      </w:tblGrid>
      <w:tr w:rsidR="00E71E63" w:rsidRPr="00E3408D" w14:paraId="2198AF42" w14:textId="77777777" w:rsidTr="00E71E63">
        <w:trPr>
          <w:trHeight w:val="138"/>
        </w:trPr>
        <w:tc>
          <w:tcPr>
            <w:tcW w:w="2204" w:type="pct"/>
            <w:tcBorders>
              <w:top w:val="single" w:sz="4" w:space="0" w:color="auto"/>
              <w:left w:val="single" w:sz="4" w:space="0" w:color="auto"/>
              <w:bottom w:val="nil"/>
              <w:right w:val="nil"/>
            </w:tcBorders>
            <w:noWrap/>
            <w:vAlign w:val="bottom"/>
            <w:hideMark/>
          </w:tcPr>
          <w:p w14:paraId="4BC89A18" w14:textId="77777777" w:rsidR="00E71E63" w:rsidRPr="00B1014F" w:rsidRDefault="00E71E63" w:rsidP="004302B4">
            <w:pPr>
              <w:rPr>
                <w:rFonts w:eastAsia="SimSun"/>
                <w:sz w:val="14"/>
                <w:szCs w:val="14"/>
                <w:lang w:eastAsia="zh-CN"/>
              </w:rPr>
            </w:pPr>
          </w:p>
        </w:tc>
        <w:tc>
          <w:tcPr>
            <w:tcW w:w="469" w:type="pct"/>
            <w:tcBorders>
              <w:top w:val="single" w:sz="4" w:space="0" w:color="auto"/>
              <w:left w:val="single" w:sz="4" w:space="0" w:color="auto"/>
              <w:bottom w:val="nil"/>
              <w:right w:val="single" w:sz="4" w:space="0" w:color="auto"/>
            </w:tcBorders>
            <w:noWrap/>
            <w:vAlign w:val="bottom"/>
            <w:hideMark/>
          </w:tcPr>
          <w:p w14:paraId="69CC5771"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69" w:type="pct"/>
            <w:tcBorders>
              <w:top w:val="single" w:sz="4" w:space="0" w:color="auto"/>
              <w:left w:val="nil"/>
              <w:bottom w:val="nil"/>
              <w:right w:val="single" w:sz="4" w:space="0" w:color="auto"/>
            </w:tcBorders>
            <w:noWrap/>
            <w:vAlign w:val="bottom"/>
            <w:hideMark/>
          </w:tcPr>
          <w:p w14:paraId="5F438A40"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75" w:type="pct"/>
            <w:tcBorders>
              <w:top w:val="single" w:sz="4" w:space="0" w:color="auto"/>
              <w:left w:val="nil"/>
              <w:bottom w:val="nil"/>
              <w:right w:val="single" w:sz="4" w:space="0" w:color="auto"/>
            </w:tcBorders>
            <w:vAlign w:val="bottom"/>
          </w:tcPr>
          <w:p w14:paraId="3D1BB149"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69" w:type="pct"/>
            <w:tcBorders>
              <w:top w:val="single" w:sz="4" w:space="0" w:color="auto"/>
              <w:left w:val="nil"/>
              <w:bottom w:val="nil"/>
              <w:right w:val="single" w:sz="4" w:space="0" w:color="auto"/>
            </w:tcBorders>
            <w:vAlign w:val="bottom"/>
          </w:tcPr>
          <w:p w14:paraId="6A6D16E8"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69" w:type="pct"/>
            <w:tcBorders>
              <w:top w:val="single" w:sz="4" w:space="0" w:color="auto"/>
              <w:left w:val="nil"/>
              <w:bottom w:val="nil"/>
              <w:right w:val="single" w:sz="4" w:space="0" w:color="auto"/>
            </w:tcBorders>
            <w:vAlign w:val="bottom"/>
          </w:tcPr>
          <w:p w14:paraId="7614B6DE"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 xml:space="preserve">Årsregnskap </w:t>
            </w:r>
          </w:p>
        </w:tc>
        <w:tc>
          <w:tcPr>
            <w:tcW w:w="445" w:type="pct"/>
            <w:tcBorders>
              <w:top w:val="single" w:sz="4" w:space="0" w:color="auto"/>
              <w:left w:val="nil"/>
              <w:bottom w:val="nil"/>
              <w:right w:val="single" w:sz="4" w:space="0" w:color="auto"/>
            </w:tcBorders>
            <w:vAlign w:val="bottom"/>
          </w:tcPr>
          <w:p w14:paraId="13B854C4"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Årsbudsjett</w:t>
            </w:r>
          </w:p>
        </w:tc>
      </w:tr>
      <w:tr w:rsidR="00E71E63" w:rsidRPr="00E3408D" w14:paraId="48AFDFD2" w14:textId="77777777" w:rsidTr="00E71E63">
        <w:trPr>
          <w:trHeight w:val="138"/>
        </w:trPr>
        <w:tc>
          <w:tcPr>
            <w:tcW w:w="2204" w:type="pct"/>
            <w:tcBorders>
              <w:top w:val="nil"/>
              <w:left w:val="single" w:sz="4" w:space="0" w:color="auto"/>
              <w:bottom w:val="single" w:sz="4" w:space="0" w:color="auto"/>
              <w:right w:val="nil"/>
            </w:tcBorders>
            <w:noWrap/>
            <w:vAlign w:val="bottom"/>
            <w:hideMark/>
          </w:tcPr>
          <w:p w14:paraId="79883876" w14:textId="77777777" w:rsidR="00E71E63" w:rsidRDefault="00E71E63" w:rsidP="004302B4">
            <w:pPr>
              <w:rPr>
                <w:rFonts w:eastAsia="Times New Roman"/>
                <w:color w:val="000000"/>
                <w:sz w:val="14"/>
                <w:szCs w:val="16"/>
                <w:lang w:eastAsia="zh-CN"/>
              </w:rPr>
            </w:pPr>
          </w:p>
        </w:tc>
        <w:tc>
          <w:tcPr>
            <w:tcW w:w="469" w:type="pct"/>
            <w:tcBorders>
              <w:top w:val="nil"/>
              <w:left w:val="single" w:sz="4" w:space="0" w:color="auto"/>
              <w:bottom w:val="single" w:sz="4" w:space="0" w:color="auto"/>
              <w:right w:val="single" w:sz="4" w:space="0" w:color="auto"/>
            </w:tcBorders>
            <w:noWrap/>
            <w:vAlign w:val="bottom"/>
            <w:hideMark/>
          </w:tcPr>
          <w:p w14:paraId="79EAFDA0"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2018</w:t>
            </w:r>
          </w:p>
        </w:tc>
        <w:tc>
          <w:tcPr>
            <w:tcW w:w="469" w:type="pct"/>
            <w:tcBorders>
              <w:top w:val="nil"/>
              <w:left w:val="nil"/>
              <w:bottom w:val="single" w:sz="4" w:space="0" w:color="auto"/>
              <w:right w:val="single" w:sz="4" w:space="0" w:color="auto"/>
            </w:tcBorders>
            <w:noWrap/>
            <w:vAlign w:val="bottom"/>
            <w:hideMark/>
          </w:tcPr>
          <w:p w14:paraId="4710DF95"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2019</w:t>
            </w:r>
          </w:p>
        </w:tc>
        <w:tc>
          <w:tcPr>
            <w:tcW w:w="475" w:type="pct"/>
            <w:tcBorders>
              <w:top w:val="nil"/>
              <w:left w:val="nil"/>
              <w:bottom w:val="single" w:sz="4" w:space="0" w:color="auto"/>
              <w:right w:val="single" w:sz="4" w:space="0" w:color="auto"/>
            </w:tcBorders>
            <w:vAlign w:val="bottom"/>
          </w:tcPr>
          <w:p w14:paraId="6D5E25BA"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2020</w:t>
            </w:r>
          </w:p>
        </w:tc>
        <w:tc>
          <w:tcPr>
            <w:tcW w:w="469" w:type="pct"/>
            <w:tcBorders>
              <w:top w:val="nil"/>
              <w:left w:val="nil"/>
              <w:bottom w:val="single" w:sz="4" w:space="0" w:color="auto"/>
              <w:right w:val="single" w:sz="4" w:space="0" w:color="auto"/>
            </w:tcBorders>
            <w:vAlign w:val="bottom"/>
          </w:tcPr>
          <w:p w14:paraId="4FDA3F2A"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2021</w:t>
            </w:r>
          </w:p>
        </w:tc>
        <w:tc>
          <w:tcPr>
            <w:tcW w:w="469" w:type="pct"/>
            <w:tcBorders>
              <w:top w:val="nil"/>
              <w:left w:val="nil"/>
              <w:bottom w:val="single" w:sz="4" w:space="0" w:color="auto"/>
              <w:right w:val="single" w:sz="4" w:space="0" w:color="auto"/>
            </w:tcBorders>
            <w:vAlign w:val="bottom"/>
          </w:tcPr>
          <w:p w14:paraId="02B60BFF"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2022</w:t>
            </w:r>
          </w:p>
        </w:tc>
        <w:tc>
          <w:tcPr>
            <w:tcW w:w="445" w:type="pct"/>
            <w:tcBorders>
              <w:top w:val="nil"/>
              <w:left w:val="nil"/>
              <w:bottom w:val="single" w:sz="4" w:space="0" w:color="auto"/>
              <w:right w:val="single" w:sz="4" w:space="0" w:color="auto"/>
            </w:tcBorders>
          </w:tcPr>
          <w:p w14:paraId="1CF6F208" w14:textId="77777777" w:rsidR="00E71E63" w:rsidRDefault="00E71E63" w:rsidP="004302B4">
            <w:pPr>
              <w:jc w:val="center"/>
              <w:rPr>
                <w:rFonts w:eastAsia="Times New Roman"/>
                <w:b/>
                <w:bCs/>
                <w:color w:val="000000"/>
                <w:sz w:val="14"/>
                <w:szCs w:val="16"/>
                <w:lang w:eastAsia="zh-CN"/>
              </w:rPr>
            </w:pPr>
            <w:r>
              <w:rPr>
                <w:rFonts w:eastAsia="Times New Roman"/>
                <w:b/>
                <w:bCs/>
                <w:color w:val="000000"/>
                <w:sz w:val="14"/>
                <w:szCs w:val="16"/>
                <w:lang w:eastAsia="zh-CN"/>
              </w:rPr>
              <w:t>2022</w:t>
            </w:r>
          </w:p>
        </w:tc>
      </w:tr>
      <w:tr w:rsidR="00E71E63" w:rsidRPr="00E3408D" w14:paraId="59581590" w14:textId="77777777" w:rsidTr="00E71E63">
        <w:trPr>
          <w:trHeight w:val="54"/>
        </w:trPr>
        <w:tc>
          <w:tcPr>
            <w:tcW w:w="2204" w:type="pct"/>
            <w:tcBorders>
              <w:top w:val="nil"/>
              <w:left w:val="single" w:sz="4" w:space="0" w:color="auto"/>
              <w:bottom w:val="single" w:sz="4" w:space="0" w:color="auto"/>
              <w:right w:val="single" w:sz="4" w:space="0" w:color="auto"/>
            </w:tcBorders>
            <w:noWrap/>
            <w:hideMark/>
          </w:tcPr>
          <w:p w14:paraId="1E2A4DA3" w14:textId="77777777" w:rsidR="00E71E63" w:rsidRPr="00BC67B1" w:rsidRDefault="00E71E63" w:rsidP="004302B4">
            <w:pPr>
              <w:rPr>
                <w:rFonts w:eastAsia="Times New Roman"/>
                <w:color w:val="000000"/>
                <w:sz w:val="14"/>
                <w:szCs w:val="16"/>
                <w:lang w:eastAsia="zh-CN"/>
              </w:rPr>
            </w:pPr>
            <w:r>
              <w:rPr>
                <w:rFonts w:eastAsia="Times New Roman"/>
                <w:color w:val="000000"/>
                <w:sz w:val="14"/>
                <w:szCs w:val="16"/>
                <w:lang w:eastAsia="zh-CN"/>
              </w:rPr>
              <w:t>Inntekter</w:t>
            </w:r>
          </w:p>
        </w:tc>
        <w:tc>
          <w:tcPr>
            <w:tcW w:w="469" w:type="pct"/>
            <w:tcBorders>
              <w:top w:val="nil"/>
              <w:left w:val="nil"/>
              <w:bottom w:val="single" w:sz="4" w:space="0" w:color="auto"/>
              <w:right w:val="single" w:sz="4" w:space="0" w:color="auto"/>
            </w:tcBorders>
            <w:noWrap/>
            <w:hideMark/>
          </w:tcPr>
          <w:p w14:paraId="57F13197"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noWrap/>
            <w:hideMark/>
          </w:tcPr>
          <w:p w14:paraId="5B0863B7" w14:textId="77777777" w:rsidR="00E71E63" w:rsidRDefault="00E71E63" w:rsidP="004302B4">
            <w:pPr>
              <w:rPr>
                <w:rFonts w:eastAsia="Times New Roman"/>
                <w:color w:val="000000"/>
                <w:sz w:val="14"/>
                <w:szCs w:val="16"/>
                <w:lang w:eastAsia="zh-CN"/>
              </w:rPr>
            </w:pPr>
          </w:p>
        </w:tc>
        <w:tc>
          <w:tcPr>
            <w:tcW w:w="475" w:type="pct"/>
            <w:tcBorders>
              <w:top w:val="nil"/>
              <w:left w:val="nil"/>
              <w:bottom w:val="single" w:sz="4" w:space="0" w:color="auto"/>
              <w:right w:val="single" w:sz="4" w:space="0" w:color="auto"/>
            </w:tcBorders>
          </w:tcPr>
          <w:p w14:paraId="6BE658F7"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7EEFF4BC"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568CDDFC"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752CF8F7" w14:textId="77777777" w:rsidR="00E71E63" w:rsidRDefault="00E71E63" w:rsidP="004302B4">
            <w:pPr>
              <w:rPr>
                <w:rFonts w:eastAsia="Times New Roman"/>
                <w:color w:val="000000"/>
                <w:sz w:val="14"/>
                <w:szCs w:val="16"/>
                <w:lang w:eastAsia="zh-CN"/>
              </w:rPr>
            </w:pPr>
          </w:p>
        </w:tc>
      </w:tr>
      <w:tr w:rsidR="00E71E63" w:rsidRPr="00E3408D" w14:paraId="2307C201" w14:textId="77777777" w:rsidTr="00E71E63">
        <w:trPr>
          <w:trHeight w:val="138"/>
        </w:trPr>
        <w:tc>
          <w:tcPr>
            <w:tcW w:w="2204" w:type="pct"/>
            <w:tcBorders>
              <w:top w:val="nil"/>
              <w:left w:val="single" w:sz="4" w:space="0" w:color="auto"/>
              <w:bottom w:val="single" w:sz="4" w:space="0" w:color="auto"/>
              <w:right w:val="single" w:sz="4" w:space="0" w:color="auto"/>
            </w:tcBorders>
            <w:noWrap/>
            <w:vAlign w:val="bottom"/>
            <w:hideMark/>
          </w:tcPr>
          <w:p w14:paraId="23401CA4" w14:textId="77777777" w:rsidR="00E71E63" w:rsidRPr="00BC67B1" w:rsidRDefault="00E71E63" w:rsidP="004302B4">
            <w:pPr>
              <w:rPr>
                <w:rFonts w:eastAsia="Times New Roman"/>
                <w:color w:val="000000"/>
                <w:sz w:val="14"/>
                <w:szCs w:val="16"/>
                <w:lang w:eastAsia="zh-CN"/>
              </w:rPr>
            </w:pPr>
            <w:r>
              <w:rPr>
                <w:rFonts w:eastAsia="Times New Roman"/>
                <w:color w:val="000000"/>
                <w:sz w:val="14"/>
                <w:szCs w:val="16"/>
                <w:lang w:eastAsia="zh-CN"/>
              </w:rPr>
              <w:t>Personalkost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469" w:type="pct"/>
            <w:tcBorders>
              <w:top w:val="nil"/>
              <w:left w:val="nil"/>
              <w:bottom w:val="single" w:sz="4" w:space="0" w:color="auto"/>
              <w:right w:val="single" w:sz="4" w:space="0" w:color="auto"/>
            </w:tcBorders>
            <w:noWrap/>
            <w:vAlign w:val="bottom"/>
            <w:hideMark/>
          </w:tcPr>
          <w:p w14:paraId="6D97858F"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68EBB1D0"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tcPr>
          <w:p w14:paraId="351163F0"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7733ACD3"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147A152A"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2A8A9F23" w14:textId="77777777" w:rsidR="00E71E63" w:rsidRDefault="00E71E63" w:rsidP="004302B4">
            <w:pPr>
              <w:rPr>
                <w:rFonts w:eastAsia="Times New Roman"/>
                <w:color w:val="000000"/>
                <w:sz w:val="14"/>
                <w:szCs w:val="16"/>
                <w:lang w:eastAsia="zh-CN"/>
              </w:rPr>
            </w:pPr>
          </w:p>
        </w:tc>
      </w:tr>
      <w:tr w:rsidR="00E71E63" w:rsidRPr="00E3408D" w14:paraId="29DB8FAC" w14:textId="77777777" w:rsidTr="00E71E63">
        <w:trPr>
          <w:trHeight w:val="138"/>
        </w:trPr>
        <w:tc>
          <w:tcPr>
            <w:tcW w:w="2204" w:type="pct"/>
            <w:tcBorders>
              <w:top w:val="nil"/>
              <w:left w:val="single" w:sz="4" w:space="0" w:color="auto"/>
              <w:bottom w:val="single" w:sz="4" w:space="0" w:color="auto"/>
              <w:right w:val="single" w:sz="4" w:space="0" w:color="auto"/>
            </w:tcBorders>
            <w:noWrap/>
            <w:vAlign w:val="bottom"/>
            <w:hideMark/>
          </w:tcPr>
          <w:p w14:paraId="7BAA745B" w14:textId="77777777" w:rsidR="00E71E63" w:rsidRPr="00BC67B1" w:rsidRDefault="00E71E63" w:rsidP="004302B4">
            <w:pPr>
              <w:rPr>
                <w:rFonts w:eastAsia="Times New Roman"/>
                <w:color w:val="000000"/>
                <w:sz w:val="14"/>
                <w:szCs w:val="16"/>
                <w:lang w:eastAsia="zh-CN"/>
              </w:rPr>
            </w:pPr>
            <w:r>
              <w:rPr>
                <w:rFonts w:eastAsia="Times New Roman"/>
                <w:color w:val="000000"/>
                <w:sz w:val="14"/>
                <w:szCs w:val="16"/>
                <w:lang w:eastAsia="zh-CN"/>
              </w:rPr>
              <w:t>Driftskost</w:t>
            </w:r>
            <w:r w:rsidRPr="00BC67B1">
              <w:rPr>
                <w:rFonts w:eastAsia="Times New Roman"/>
                <w:color w:val="000000"/>
                <w:sz w:val="14"/>
                <w:szCs w:val="16"/>
                <w:lang w:eastAsia="zh-CN"/>
              </w:rPr>
              <w:t>n</w:t>
            </w:r>
            <w:r>
              <w:rPr>
                <w:rFonts w:eastAsia="Times New Roman"/>
                <w:color w:val="000000"/>
                <w:sz w:val="14"/>
                <w:szCs w:val="16"/>
                <w:lang w:eastAsia="zh-CN"/>
              </w:rPr>
              <w:t>a</w:t>
            </w:r>
            <w:r w:rsidRPr="00BC67B1">
              <w:rPr>
                <w:rFonts w:eastAsia="Times New Roman"/>
                <w:color w:val="000000"/>
                <w:sz w:val="14"/>
                <w:szCs w:val="16"/>
                <w:lang w:eastAsia="zh-CN"/>
              </w:rPr>
              <w:t>der</w:t>
            </w:r>
          </w:p>
        </w:tc>
        <w:tc>
          <w:tcPr>
            <w:tcW w:w="469" w:type="pct"/>
            <w:tcBorders>
              <w:top w:val="nil"/>
              <w:left w:val="nil"/>
              <w:bottom w:val="single" w:sz="4" w:space="0" w:color="auto"/>
              <w:right w:val="single" w:sz="4" w:space="0" w:color="auto"/>
            </w:tcBorders>
            <w:noWrap/>
            <w:vAlign w:val="bottom"/>
            <w:hideMark/>
          </w:tcPr>
          <w:p w14:paraId="553EB8A6"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623EA03A"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tcPr>
          <w:p w14:paraId="1795CECE"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692B605E"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401CE471"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2F74AB47" w14:textId="77777777" w:rsidR="00E71E63" w:rsidRDefault="00E71E63" w:rsidP="004302B4">
            <w:pPr>
              <w:rPr>
                <w:rFonts w:eastAsia="Times New Roman"/>
                <w:color w:val="000000"/>
                <w:sz w:val="14"/>
                <w:szCs w:val="16"/>
                <w:lang w:eastAsia="zh-CN"/>
              </w:rPr>
            </w:pPr>
          </w:p>
        </w:tc>
      </w:tr>
      <w:tr w:rsidR="00E71E63" w:rsidRPr="00E3408D" w14:paraId="28DBAB5C" w14:textId="77777777" w:rsidTr="00E71E63">
        <w:trPr>
          <w:trHeight w:val="138"/>
        </w:trPr>
        <w:tc>
          <w:tcPr>
            <w:tcW w:w="2204" w:type="pct"/>
            <w:tcBorders>
              <w:top w:val="nil"/>
              <w:left w:val="single" w:sz="4" w:space="0" w:color="auto"/>
              <w:bottom w:val="single" w:sz="4" w:space="0" w:color="auto"/>
              <w:right w:val="single" w:sz="4" w:space="0" w:color="auto"/>
            </w:tcBorders>
            <w:noWrap/>
            <w:vAlign w:val="bottom"/>
            <w:hideMark/>
          </w:tcPr>
          <w:p w14:paraId="67237AE5" w14:textId="77777777" w:rsidR="00E71E63" w:rsidRPr="00BC67B1" w:rsidRDefault="00E71E63" w:rsidP="004302B4">
            <w:pPr>
              <w:rPr>
                <w:rFonts w:eastAsia="Times New Roman"/>
                <w:color w:val="000000"/>
                <w:sz w:val="14"/>
                <w:szCs w:val="16"/>
                <w:lang w:eastAsia="zh-CN"/>
              </w:rPr>
            </w:pPr>
            <w:r w:rsidRPr="00BC67B1">
              <w:rPr>
                <w:rFonts w:eastAsia="Times New Roman"/>
                <w:color w:val="000000"/>
                <w:sz w:val="14"/>
                <w:szCs w:val="16"/>
                <w:lang w:eastAsia="zh-CN"/>
              </w:rPr>
              <w:t>Investeringer</w:t>
            </w:r>
          </w:p>
        </w:tc>
        <w:tc>
          <w:tcPr>
            <w:tcW w:w="469" w:type="pct"/>
            <w:tcBorders>
              <w:top w:val="nil"/>
              <w:left w:val="nil"/>
              <w:bottom w:val="single" w:sz="4" w:space="0" w:color="auto"/>
              <w:right w:val="single" w:sz="4" w:space="0" w:color="auto"/>
            </w:tcBorders>
            <w:noWrap/>
            <w:vAlign w:val="bottom"/>
            <w:hideMark/>
          </w:tcPr>
          <w:p w14:paraId="572E92FC"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30C9A7B0"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tcPr>
          <w:p w14:paraId="4332D21F"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0FB3B82C"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7CAD1957"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17B22900" w14:textId="77777777" w:rsidR="00E71E63" w:rsidRDefault="00E71E63" w:rsidP="004302B4">
            <w:pPr>
              <w:rPr>
                <w:rFonts w:eastAsia="Times New Roman"/>
                <w:color w:val="000000"/>
                <w:sz w:val="14"/>
                <w:szCs w:val="16"/>
                <w:lang w:eastAsia="zh-CN"/>
              </w:rPr>
            </w:pPr>
          </w:p>
        </w:tc>
      </w:tr>
      <w:tr w:rsidR="00E71E63" w:rsidRPr="00E3408D" w14:paraId="2CA8CE35" w14:textId="77777777" w:rsidTr="00E71E63">
        <w:trPr>
          <w:trHeight w:val="138"/>
        </w:trPr>
        <w:tc>
          <w:tcPr>
            <w:tcW w:w="2204" w:type="pct"/>
            <w:tcBorders>
              <w:top w:val="nil"/>
              <w:left w:val="single" w:sz="4" w:space="0" w:color="auto"/>
              <w:bottom w:val="single" w:sz="4" w:space="0" w:color="auto"/>
              <w:right w:val="single" w:sz="4" w:space="0" w:color="auto"/>
            </w:tcBorders>
            <w:shd w:val="clear" w:color="auto" w:fill="D9D9D9"/>
            <w:noWrap/>
            <w:vAlign w:val="bottom"/>
            <w:hideMark/>
          </w:tcPr>
          <w:p w14:paraId="0E49B168" w14:textId="77777777" w:rsidR="00E71E63" w:rsidRPr="00A03F03" w:rsidRDefault="00E71E63" w:rsidP="004302B4">
            <w:pPr>
              <w:rPr>
                <w:rFonts w:eastAsia="Times New Roman"/>
                <w:b/>
                <w:bCs/>
                <w:color w:val="000000"/>
                <w:sz w:val="14"/>
                <w:szCs w:val="14"/>
                <w:lang w:eastAsia="zh-CN"/>
              </w:rPr>
            </w:pPr>
            <w:r w:rsidRPr="00A03F03">
              <w:rPr>
                <w:rFonts w:eastAsia="Times New Roman"/>
                <w:b/>
                <w:bCs/>
                <w:color w:val="000000"/>
                <w:sz w:val="14"/>
                <w:szCs w:val="14"/>
                <w:lang w:eastAsia="zh-CN"/>
              </w:rPr>
              <w:t>Isolert mer-/</w:t>
            </w:r>
            <w:proofErr w:type="spellStart"/>
            <w:r w:rsidRPr="00A03F03">
              <w:rPr>
                <w:rFonts w:eastAsia="Times New Roman"/>
                <w:b/>
                <w:bCs/>
                <w:color w:val="000000"/>
                <w:sz w:val="14"/>
                <w:szCs w:val="14"/>
                <w:lang w:eastAsia="zh-CN"/>
              </w:rPr>
              <w:t>mindreforbruk</w:t>
            </w:r>
            <w:proofErr w:type="spellEnd"/>
            <w:r w:rsidRPr="00A03F03">
              <w:rPr>
                <w:rFonts w:eastAsia="Times New Roman"/>
                <w:b/>
                <w:bCs/>
                <w:color w:val="000000"/>
                <w:sz w:val="14"/>
                <w:szCs w:val="14"/>
                <w:lang w:eastAsia="zh-CN"/>
              </w:rPr>
              <w:t xml:space="preserve"> uten nettobidrag og prosjektavslutning</w:t>
            </w:r>
          </w:p>
        </w:tc>
        <w:tc>
          <w:tcPr>
            <w:tcW w:w="469" w:type="pct"/>
            <w:tcBorders>
              <w:top w:val="nil"/>
              <w:left w:val="nil"/>
              <w:bottom w:val="single" w:sz="4" w:space="0" w:color="auto"/>
              <w:right w:val="single" w:sz="4" w:space="0" w:color="auto"/>
            </w:tcBorders>
            <w:shd w:val="clear" w:color="auto" w:fill="D9D9D9"/>
            <w:noWrap/>
            <w:vAlign w:val="bottom"/>
            <w:hideMark/>
          </w:tcPr>
          <w:p w14:paraId="3C27931C"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shd w:val="clear" w:color="auto" w:fill="D9D9D9"/>
            <w:noWrap/>
            <w:vAlign w:val="bottom"/>
            <w:hideMark/>
          </w:tcPr>
          <w:p w14:paraId="55437914"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shd w:val="clear" w:color="auto" w:fill="D9D9D9"/>
          </w:tcPr>
          <w:p w14:paraId="1888E14A"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5637925F"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2CF73316"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shd w:val="clear" w:color="auto" w:fill="D9D9D9"/>
          </w:tcPr>
          <w:p w14:paraId="226F8E0A" w14:textId="77777777" w:rsidR="00E71E63" w:rsidRDefault="00E71E63" w:rsidP="004302B4">
            <w:pPr>
              <w:rPr>
                <w:rFonts w:eastAsia="Times New Roman"/>
                <w:color w:val="000000"/>
                <w:sz w:val="14"/>
                <w:szCs w:val="16"/>
                <w:lang w:eastAsia="zh-CN"/>
              </w:rPr>
            </w:pPr>
          </w:p>
        </w:tc>
      </w:tr>
      <w:tr w:rsidR="00E71E63" w:rsidRPr="00E3408D" w14:paraId="3549E949" w14:textId="77777777" w:rsidTr="00E71E63">
        <w:trPr>
          <w:trHeight w:val="138"/>
        </w:trPr>
        <w:tc>
          <w:tcPr>
            <w:tcW w:w="2204" w:type="pct"/>
            <w:tcBorders>
              <w:top w:val="nil"/>
              <w:left w:val="single" w:sz="4" w:space="0" w:color="auto"/>
              <w:bottom w:val="single" w:sz="4" w:space="0" w:color="auto"/>
              <w:right w:val="single" w:sz="4" w:space="0" w:color="auto"/>
            </w:tcBorders>
            <w:noWrap/>
            <w:vAlign w:val="bottom"/>
            <w:hideMark/>
          </w:tcPr>
          <w:p w14:paraId="62FB800C" w14:textId="77777777" w:rsidR="00E71E63" w:rsidRPr="00BC67B1" w:rsidRDefault="00E71E63" w:rsidP="004302B4">
            <w:pPr>
              <w:rPr>
                <w:rFonts w:eastAsia="Times New Roman"/>
                <w:color w:val="000000"/>
                <w:sz w:val="14"/>
                <w:szCs w:val="16"/>
                <w:lang w:eastAsia="zh-CN"/>
              </w:rPr>
            </w:pPr>
            <w:r w:rsidRPr="00BC67B1">
              <w:rPr>
                <w:rFonts w:eastAsia="Times New Roman"/>
                <w:color w:val="000000"/>
                <w:sz w:val="14"/>
                <w:szCs w:val="16"/>
                <w:lang w:eastAsia="zh-CN"/>
              </w:rPr>
              <w:t>Nettobidrag</w:t>
            </w:r>
          </w:p>
        </w:tc>
        <w:tc>
          <w:tcPr>
            <w:tcW w:w="469" w:type="pct"/>
            <w:tcBorders>
              <w:top w:val="nil"/>
              <w:left w:val="nil"/>
              <w:bottom w:val="single" w:sz="4" w:space="0" w:color="auto"/>
              <w:right w:val="single" w:sz="4" w:space="0" w:color="auto"/>
            </w:tcBorders>
            <w:noWrap/>
            <w:vAlign w:val="bottom"/>
            <w:hideMark/>
          </w:tcPr>
          <w:p w14:paraId="656C406C"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04F056F0"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tcPr>
          <w:p w14:paraId="1343F7A7"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31807991"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28C4767C"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14023F7A" w14:textId="77777777" w:rsidR="00E71E63" w:rsidRDefault="00E71E63" w:rsidP="004302B4">
            <w:pPr>
              <w:rPr>
                <w:rFonts w:eastAsia="Times New Roman"/>
                <w:color w:val="000000"/>
                <w:sz w:val="14"/>
                <w:szCs w:val="16"/>
                <w:lang w:eastAsia="zh-CN"/>
              </w:rPr>
            </w:pPr>
          </w:p>
        </w:tc>
      </w:tr>
      <w:tr w:rsidR="00E71E63" w:rsidRPr="00E3408D" w14:paraId="099BF154" w14:textId="77777777" w:rsidTr="00E71E63">
        <w:trPr>
          <w:trHeight w:val="138"/>
        </w:trPr>
        <w:tc>
          <w:tcPr>
            <w:tcW w:w="2204" w:type="pct"/>
            <w:tcBorders>
              <w:top w:val="nil"/>
              <w:left w:val="single" w:sz="4" w:space="0" w:color="auto"/>
              <w:bottom w:val="single" w:sz="4" w:space="0" w:color="auto"/>
              <w:right w:val="single" w:sz="4" w:space="0" w:color="auto"/>
            </w:tcBorders>
            <w:noWrap/>
            <w:vAlign w:val="bottom"/>
            <w:hideMark/>
          </w:tcPr>
          <w:p w14:paraId="6F8777AC" w14:textId="77777777" w:rsidR="00E71E63" w:rsidRPr="00BC67B1" w:rsidRDefault="00E71E63" w:rsidP="004302B4">
            <w:pPr>
              <w:rPr>
                <w:rFonts w:eastAsia="Times New Roman"/>
                <w:color w:val="000000"/>
                <w:sz w:val="14"/>
                <w:szCs w:val="16"/>
                <w:lang w:eastAsia="zh-CN"/>
              </w:rPr>
            </w:pPr>
            <w:r w:rsidRPr="00BC67B1">
              <w:rPr>
                <w:rFonts w:eastAsia="Times New Roman"/>
                <w:color w:val="000000"/>
                <w:sz w:val="14"/>
                <w:szCs w:val="16"/>
                <w:lang w:eastAsia="zh-CN"/>
              </w:rPr>
              <w:t>Prosjektavslutni</w:t>
            </w:r>
            <w:r>
              <w:rPr>
                <w:rFonts w:eastAsia="Times New Roman"/>
                <w:color w:val="000000"/>
                <w:sz w:val="14"/>
                <w:szCs w:val="16"/>
                <w:lang w:eastAsia="zh-CN"/>
              </w:rPr>
              <w:t>n</w:t>
            </w:r>
            <w:r w:rsidRPr="00BC67B1">
              <w:rPr>
                <w:rFonts w:eastAsia="Times New Roman"/>
                <w:color w:val="000000"/>
                <w:sz w:val="14"/>
                <w:szCs w:val="16"/>
                <w:lang w:eastAsia="zh-CN"/>
              </w:rPr>
              <w:t>g</w:t>
            </w:r>
          </w:p>
        </w:tc>
        <w:tc>
          <w:tcPr>
            <w:tcW w:w="469" w:type="pct"/>
            <w:tcBorders>
              <w:top w:val="nil"/>
              <w:left w:val="nil"/>
              <w:bottom w:val="single" w:sz="4" w:space="0" w:color="auto"/>
              <w:right w:val="single" w:sz="4" w:space="0" w:color="auto"/>
            </w:tcBorders>
            <w:noWrap/>
            <w:vAlign w:val="bottom"/>
            <w:hideMark/>
          </w:tcPr>
          <w:p w14:paraId="3B06FFBD"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noWrap/>
            <w:vAlign w:val="bottom"/>
            <w:hideMark/>
          </w:tcPr>
          <w:p w14:paraId="168DD20D"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tcPr>
          <w:p w14:paraId="59BFEEC6"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333808A8"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tcPr>
          <w:p w14:paraId="07B0EFFF"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tcPr>
          <w:p w14:paraId="29F3D0BF" w14:textId="77777777" w:rsidR="00E71E63" w:rsidRDefault="00E71E63" w:rsidP="004302B4">
            <w:pPr>
              <w:rPr>
                <w:rFonts w:eastAsia="Times New Roman"/>
                <w:color w:val="000000"/>
                <w:sz w:val="14"/>
                <w:szCs w:val="16"/>
                <w:lang w:eastAsia="zh-CN"/>
              </w:rPr>
            </w:pPr>
          </w:p>
        </w:tc>
      </w:tr>
      <w:tr w:rsidR="00E71E63" w:rsidRPr="00E3408D" w14:paraId="005D2866" w14:textId="77777777" w:rsidTr="00E71E63">
        <w:trPr>
          <w:trHeight w:val="138"/>
        </w:trPr>
        <w:tc>
          <w:tcPr>
            <w:tcW w:w="2204" w:type="pct"/>
            <w:tcBorders>
              <w:top w:val="nil"/>
              <w:left w:val="single" w:sz="4" w:space="0" w:color="auto"/>
              <w:bottom w:val="single" w:sz="4" w:space="0" w:color="auto"/>
              <w:right w:val="single" w:sz="4" w:space="0" w:color="auto"/>
            </w:tcBorders>
            <w:shd w:val="clear" w:color="auto" w:fill="D9D9D9"/>
            <w:noWrap/>
            <w:vAlign w:val="bottom"/>
            <w:hideMark/>
          </w:tcPr>
          <w:p w14:paraId="3E85D0FF" w14:textId="77777777" w:rsidR="00E71E63" w:rsidRPr="00BC67B1" w:rsidRDefault="00E71E63" w:rsidP="004302B4">
            <w:pPr>
              <w:rPr>
                <w:rFonts w:eastAsia="Times New Roman"/>
                <w:b/>
                <w:bCs/>
                <w:color w:val="000000"/>
                <w:sz w:val="14"/>
                <w:szCs w:val="16"/>
                <w:lang w:eastAsia="zh-CN"/>
              </w:rPr>
            </w:pPr>
            <w:r w:rsidRPr="00A03F03">
              <w:rPr>
                <w:rFonts w:eastAsia="Times New Roman"/>
                <w:b/>
                <w:bCs/>
                <w:color w:val="000000"/>
                <w:sz w:val="14"/>
                <w:szCs w:val="16"/>
                <w:lang w:eastAsia="zh-CN"/>
              </w:rPr>
              <w:t>Isolert mer-/</w:t>
            </w:r>
            <w:proofErr w:type="spellStart"/>
            <w:r w:rsidRPr="00A03F03">
              <w:rPr>
                <w:rFonts w:eastAsia="Times New Roman"/>
                <w:b/>
                <w:bCs/>
                <w:color w:val="000000"/>
                <w:sz w:val="14"/>
                <w:szCs w:val="16"/>
                <w:lang w:eastAsia="zh-CN"/>
              </w:rPr>
              <w:t>mindreforbruk</w:t>
            </w:r>
            <w:proofErr w:type="spellEnd"/>
          </w:p>
        </w:tc>
        <w:tc>
          <w:tcPr>
            <w:tcW w:w="469" w:type="pct"/>
            <w:tcBorders>
              <w:top w:val="nil"/>
              <w:left w:val="nil"/>
              <w:bottom w:val="single" w:sz="4" w:space="0" w:color="auto"/>
              <w:right w:val="single" w:sz="4" w:space="0" w:color="auto"/>
            </w:tcBorders>
            <w:shd w:val="clear" w:color="auto" w:fill="D9D9D9"/>
            <w:noWrap/>
            <w:vAlign w:val="bottom"/>
            <w:hideMark/>
          </w:tcPr>
          <w:p w14:paraId="2EAFAA4B"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69" w:type="pct"/>
            <w:tcBorders>
              <w:top w:val="nil"/>
              <w:left w:val="nil"/>
              <w:bottom w:val="single" w:sz="4" w:space="0" w:color="auto"/>
              <w:right w:val="single" w:sz="4" w:space="0" w:color="auto"/>
            </w:tcBorders>
            <w:shd w:val="clear" w:color="auto" w:fill="D9D9D9"/>
            <w:noWrap/>
            <w:vAlign w:val="bottom"/>
            <w:hideMark/>
          </w:tcPr>
          <w:p w14:paraId="2424C90D" w14:textId="77777777" w:rsidR="00E71E63" w:rsidRDefault="00E71E63" w:rsidP="004302B4">
            <w:pPr>
              <w:rPr>
                <w:rFonts w:eastAsia="Times New Roman"/>
                <w:color w:val="000000"/>
                <w:sz w:val="14"/>
                <w:szCs w:val="16"/>
                <w:lang w:eastAsia="zh-CN"/>
              </w:rPr>
            </w:pPr>
            <w:r>
              <w:rPr>
                <w:rFonts w:eastAsia="Times New Roman"/>
                <w:color w:val="000000"/>
                <w:sz w:val="14"/>
                <w:szCs w:val="16"/>
                <w:lang w:eastAsia="zh-CN"/>
              </w:rPr>
              <w:t> </w:t>
            </w:r>
          </w:p>
        </w:tc>
        <w:tc>
          <w:tcPr>
            <w:tcW w:w="475" w:type="pct"/>
            <w:tcBorders>
              <w:top w:val="nil"/>
              <w:left w:val="nil"/>
              <w:bottom w:val="single" w:sz="4" w:space="0" w:color="auto"/>
              <w:right w:val="single" w:sz="4" w:space="0" w:color="auto"/>
            </w:tcBorders>
            <w:shd w:val="clear" w:color="auto" w:fill="D9D9D9"/>
          </w:tcPr>
          <w:p w14:paraId="3241CE57"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2195B88C" w14:textId="77777777" w:rsidR="00E71E63" w:rsidRDefault="00E71E63" w:rsidP="004302B4">
            <w:pPr>
              <w:rPr>
                <w:rFonts w:eastAsia="Times New Roman"/>
                <w:color w:val="000000"/>
                <w:sz w:val="14"/>
                <w:szCs w:val="16"/>
                <w:lang w:eastAsia="zh-CN"/>
              </w:rPr>
            </w:pPr>
          </w:p>
        </w:tc>
        <w:tc>
          <w:tcPr>
            <w:tcW w:w="469" w:type="pct"/>
            <w:tcBorders>
              <w:top w:val="nil"/>
              <w:left w:val="nil"/>
              <w:bottom w:val="single" w:sz="4" w:space="0" w:color="auto"/>
              <w:right w:val="single" w:sz="4" w:space="0" w:color="auto"/>
            </w:tcBorders>
            <w:shd w:val="clear" w:color="auto" w:fill="D9D9D9"/>
          </w:tcPr>
          <w:p w14:paraId="07D59DA4" w14:textId="77777777" w:rsidR="00E71E63" w:rsidRDefault="00E71E63" w:rsidP="004302B4">
            <w:pPr>
              <w:rPr>
                <w:rFonts w:eastAsia="Times New Roman"/>
                <w:color w:val="000000"/>
                <w:sz w:val="14"/>
                <w:szCs w:val="16"/>
                <w:lang w:eastAsia="zh-CN"/>
              </w:rPr>
            </w:pPr>
          </w:p>
        </w:tc>
        <w:tc>
          <w:tcPr>
            <w:tcW w:w="445" w:type="pct"/>
            <w:tcBorders>
              <w:top w:val="nil"/>
              <w:left w:val="nil"/>
              <w:bottom w:val="single" w:sz="4" w:space="0" w:color="auto"/>
              <w:right w:val="single" w:sz="4" w:space="0" w:color="auto"/>
            </w:tcBorders>
            <w:shd w:val="clear" w:color="auto" w:fill="D9D9D9"/>
          </w:tcPr>
          <w:p w14:paraId="290D5AB2" w14:textId="77777777" w:rsidR="00E71E63" w:rsidRDefault="00E71E63" w:rsidP="004302B4">
            <w:pPr>
              <w:rPr>
                <w:rFonts w:eastAsia="Times New Roman"/>
                <w:color w:val="000000"/>
                <w:sz w:val="14"/>
                <w:szCs w:val="16"/>
                <w:lang w:eastAsia="zh-CN"/>
              </w:rPr>
            </w:pPr>
          </w:p>
        </w:tc>
      </w:tr>
      <w:bookmarkEnd w:id="0"/>
    </w:tbl>
    <w:p w14:paraId="3C68B2C5" w14:textId="2E0D8D8E" w:rsidR="007E2EE6" w:rsidRDefault="007E2EE6" w:rsidP="00E71E63">
      <w:pPr>
        <w:rPr>
          <w:rFonts w:ascii="Georgia" w:hAnsi="Georgia"/>
          <w:sz w:val="20"/>
          <w:szCs w:val="20"/>
        </w:rPr>
      </w:pPr>
    </w:p>
    <w:sectPr w:rsidR="007E2EE6" w:rsidSect="002901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C7A6" w14:textId="77777777" w:rsidR="007A5617" w:rsidRDefault="007A5617" w:rsidP="007A5617">
      <w:r>
        <w:separator/>
      </w:r>
    </w:p>
  </w:endnote>
  <w:endnote w:type="continuationSeparator" w:id="0">
    <w:p w14:paraId="3439155C" w14:textId="77777777"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Quaesto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31456"/>
      <w:docPartObj>
        <w:docPartGallery w:val="Page Numbers (Bottom of Page)"/>
        <w:docPartUnique/>
      </w:docPartObj>
    </w:sdtPr>
    <w:sdtEndPr/>
    <w:sdtContent>
      <w:p w14:paraId="4C83F97F" w14:textId="371BCCFF" w:rsidR="00286C6D" w:rsidRDefault="00286C6D">
        <w:pPr>
          <w:pStyle w:val="Footer"/>
          <w:jc w:val="center"/>
        </w:pPr>
        <w:r>
          <w:fldChar w:fldCharType="begin"/>
        </w:r>
        <w:r>
          <w:instrText>PAGE   \* MERGEFORMAT</w:instrText>
        </w:r>
        <w:r>
          <w:fldChar w:fldCharType="separate"/>
        </w:r>
        <w:r w:rsidR="00483567">
          <w:rPr>
            <w:noProof/>
          </w:rPr>
          <w:t>1</w:t>
        </w:r>
        <w:r>
          <w:fldChar w:fldCharType="end"/>
        </w:r>
      </w:p>
    </w:sdtContent>
  </w:sdt>
  <w:p w14:paraId="7E0755B3" w14:textId="77777777"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3546"/>
      <w:docPartObj>
        <w:docPartGallery w:val="Page Numbers (Bottom of Page)"/>
        <w:docPartUnique/>
      </w:docPartObj>
    </w:sdtPr>
    <w:sdtEndPr>
      <w:rPr>
        <w:noProof/>
      </w:rPr>
    </w:sdtEndPr>
    <w:sdtContent>
      <w:p w14:paraId="28A76119" w14:textId="77777777"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3844CAFB" w14:textId="77777777"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FACC" w14:textId="77777777" w:rsidR="007A5617" w:rsidRDefault="007A5617" w:rsidP="007A5617">
      <w:r>
        <w:separator/>
      </w:r>
    </w:p>
  </w:footnote>
  <w:footnote w:type="continuationSeparator" w:id="0">
    <w:p w14:paraId="589A0ED9" w14:textId="77777777" w:rsidR="007A5617" w:rsidRDefault="007A5617" w:rsidP="007A5617">
      <w:r>
        <w:continuationSeparator/>
      </w:r>
    </w:p>
  </w:footnote>
  <w:footnote w:id="1">
    <w:p w14:paraId="0DCBA136" w14:textId="1AE45111" w:rsidR="00316BFC" w:rsidRPr="00316BFC" w:rsidRDefault="00316BFC">
      <w:pPr>
        <w:pStyle w:val="FootnoteText"/>
      </w:pPr>
      <w:r>
        <w:rPr>
          <w:rStyle w:val="FootnoteReference"/>
        </w:rPr>
        <w:footnoteRef/>
      </w:r>
      <w:r>
        <w:t xml:space="preserve"> </w:t>
      </w:r>
      <w:r w:rsidRPr="00316BFC">
        <w:t>Vedlagte tabell viser ikke avsluttet r</w:t>
      </w:r>
      <w:r>
        <w:t xml:space="preserve">egnskap. Merforbruket i BOA-virksomheten på 2,4 mill. vil bli saldert mot bevilgningsøkonomien. Bevilgningsøkonomien vil da ha et akkumulert </w:t>
      </w:r>
      <w:proofErr w:type="spellStart"/>
      <w:r>
        <w:t>mindreforbruk</w:t>
      </w:r>
      <w:proofErr w:type="spellEnd"/>
      <w:r>
        <w:t xml:space="preserve"> på 0,12 mill.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CE25" w14:textId="28182D4A" w:rsidR="00244923" w:rsidRPr="00FE58F7" w:rsidRDefault="00627131" w:rsidP="00244923">
    <w:pPr>
      <w:pStyle w:val="Header"/>
      <w:tabs>
        <w:tab w:val="clear" w:pos="8306"/>
        <w:tab w:val="left" w:pos="6534"/>
      </w:tabs>
      <w:ind w:right="120"/>
      <w:jc w:val="right"/>
      <w:rPr>
        <w:rFonts w:asciiTheme="majorHAnsi" w:eastAsia="MS Gothic" w:hAnsiTheme="majorHAnsi"/>
        <w:sz w:val="22"/>
        <w:szCs w:val="36"/>
      </w:rPr>
    </w:pPr>
    <w:r>
      <w:rPr>
        <w:rFonts w:asciiTheme="majorHAnsi" w:eastAsia="MS Gothic" w:hAnsiTheme="majorHAnsi"/>
        <w:sz w:val="22"/>
        <w:szCs w:val="36"/>
      </w:rPr>
      <w:t>Ø</w:t>
    </w:r>
    <w:r w:rsidR="001419BD" w:rsidRPr="00FE58F7">
      <w:rPr>
        <w:rFonts w:asciiTheme="majorHAnsi" w:eastAsia="MS Gothic" w:hAnsiTheme="majorHAnsi"/>
        <w:sz w:val="22"/>
        <w:szCs w:val="36"/>
      </w:rPr>
      <w:t>konomirapport</w:t>
    </w:r>
    <w:r>
      <w:rPr>
        <w:rFonts w:asciiTheme="majorHAnsi" w:eastAsia="MS Gothic" w:hAnsiTheme="majorHAnsi"/>
        <w:sz w:val="22"/>
        <w:szCs w:val="36"/>
      </w:rPr>
      <w:t xml:space="preserve"> </w:t>
    </w:r>
    <w:proofErr w:type="spellStart"/>
    <w:r>
      <w:rPr>
        <w:rFonts w:asciiTheme="majorHAnsi" w:eastAsia="MS Gothic" w:hAnsiTheme="majorHAnsi"/>
        <w:sz w:val="22"/>
        <w:szCs w:val="36"/>
      </w:rPr>
      <w:t>Helsam</w:t>
    </w:r>
    <w:proofErr w:type="spellEnd"/>
    <w:r>
      <w:rPr>
        <w:rFonts w:asciiTheme="majorHAnsi" w:eastAsia="MS Gothic" w:hAnsiTheme="majorHAnsi"/>
        <w:sz w:val="22"/>
        <w:szCs w:val="36"/>
      </w:rPr>
      <w:t xml:space="preserve"> T3 2022</w:t>
    </w:r>
  </w:p>
  <w:p w14:paraId="74B33BF4" w14:textId="77777777"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A4314E"/>
    <w:multiLevelType w:val="hybridMultilevel"/>
    <w:tmpl w:val="74C62E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17"/>
  </w:num>
  <w:num w:numId="6">
    <w:abstractNumId w:val="12"/>
  </w:num>
  <w:num w:numId="7">
    <w:abstractNumId w:val="15"/>
  </w:num>
  <w:num w:numId="8">
    <w:abstractNumId w:val="4"/>
  </w:num>
  <w:num w:numId="9">
    <w:abstractNumId w:val="16"/>
  </w:num>
  <w:num w:numId="10">
    <w:abstractNumId w:val="3"/>
  </w:num>
  <w:num w:numId="11">
    <w:abstractNumId w:val="13"/>
  </w:num>
  <w:num w:numId="12">
    <w:abstractNumId w:val="6"/>
  </w:num>
  <w:num w:numId="13">
    <w:abstractNumId w:val="0"/>
  </w:num>
  <w:num w:numId="14">
    <w:abstractNumId w:val="10"/>
  </w:num>
  <w:num w:numId="15">
    <w:abstractNumId w:val="14"/>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17"/>
    <w:rsid w:val="00000392"/>
    <w:rsid w:val="000348BA"/>
    <w:rsid w:val="00094241"/>
    <w:rsid w:val="001412CB"/>
    <w:rsid w:val="001419BD"/>
    <w:rsid w:val="00164D19"/>
    <w:rsid w:val="001C7A7E"/>
    <w:rsid w:val="00237F17"/>
    <w:rsid w:val="00243496"/>
    <w:rsid w:val="00244923"/>
    <w:rsid w:val="00246292"/>
    <w:rsid w:val="00286C6D"/>
    <w:rsid w:val="00290163"/>
    <w:rsid w:val="002A1804"/>
    <w:rsid w:val="002E62CF"/>
    <w:rsid w:val="00305C8F"/>
    <w:rsid w:val="00316BFC"/>
    <w:rsid w:val="00323FAA"/>
    <w:rsid w:val="0033154C"/>
    <w:rsid w:val="00365B35"/>
    <w:rsid w:val="00367398"/>
    <w:rsid w:val="00376C4F"/>
    <w:rsid w:val="003815A3"/>
    <w:rsid w:val="00385F0D"/>
    <w:rsid w:val="003A7F11"/>
    <w:rsid w:val="003C5A5C"/>
    <w:rsid w:val="003D332F"/>
    <w:rsid w:val="0040135A"/>
    <w:rsid w:val="00453B85"/>
    <w:rsid w:val="00483567"/>
    <w:rsid w:val="004D37BC"/>
    <w:rsid w:val="00515C1D"/>
    <w:rsid w:val="00583E2E"/>
    <w:rsid w:val="00613E11"/>
    <w:rsid w:val="00627131"/>
    <w:rsid w:val="00675226"/>
    <w:rsid w:val="006E38C8"/>
    <w:rsid w:val="006F5377"/>
    <w:rsid w:val="00743B78"/>
    <w:rsid w:val="00747762"/>
    <w:rsid w:val="00772521"/>
    <w:rsid w:val="007A5617"/>
    <w:rsid w:val="007C51E8"/>
    <w:rsid w:val="007E2EE6"/>
    <w:rsid w:val="00846D69"/>
    <w:rsid w:val="0088327B"/>
    <w:rsid w:val="008B14CE"/>
    <w:rsid w:val="008B4DF9"/>
    <w:rsid w:val="009030EC"/>
    <w:rsid w:val="0091424E"/>
    <w:rsid w:val="0091553D"/>
    <w:rsid w:val="009168B2"/>
    <w:rsid w:val="0091775A"/>
    <w:rsid w:val="009450D0"/>
    <w:rsid w:val="00982924"/>
    <w:rsid w:val="009A1362"/>
    <w:rsid w:val="009C1AE7"/>
    <w:rsid w:val="00A44CBA"/>
    <w:rsid w:val="00A95262"/>
    <w:rsid w:val="00B1014F"/>
    <w:rsid w:val="00B20242"/>
    <w:rsid w:val="00B329B5"/>
    <w:rsid w:val="00C70698"/>
    <w:rsid w:val="00CF53AC"/>
    <w:rsid w:val="00D2703D"/>
    <w:rsid w:val="00D959FE"/>
    <w:rsid w:val="00DC521B"/>
    <w:rsid w:val="00E2664F"/>
    <w:rsid w:val="00E437E1"/>
    <w:rsid w:val="00E71E63"/>
    <w:rsid w:val="00E84F8C"/>
    <w:rsid w:val="00E8767B"/>
    <w:rsid w:val="00E92E2D"/>
    <w:rsid w:val="00E96C66"/>
    <w:rsid w:val="00E9755E"/>
    <w:rsid w:val="00EA2FA0"/>
    <w:rsid w:val="00EE5538"/>
    <w:rsid w:val="00EE66CC"/>
    <w:rsid w:val="00EF2938"/>
    <w:rsid w:val="00F030D7"/>
    <w:rsid w:val="00F05AC8"/>
    <w:rsid w:val="00F3335F"/>
    <w:rsid w:val="00F90DE0"/>
    <w:rsid w:val="00FA2D27"/>
    <w:rsid w:val="00FC385E"/>
    <w:rsid w:val="00FE2E87"/>
    <w:rsid w:val="00FE58F7"/>
    <w:rsid w:val="00FF5CD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5E147F"/>
  <w15:docId w15:val="{B9AC6144-4393-489F-8A40-7AD98B54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AC"/>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1162-DA60-4603-A745-A0F187DB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1039</Words>
  <Characters>5509</Characters>
  <Application>Microsoft Office Word</Application>
  <DocSecurity>0</DocSecurity>
  <Lines>45</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Rørtveit Mundal</dc:creator>
  <cp:lastModifiedBy>Knut Tore Stokke</cp:lastModifiedBy>
  <cp:revision>3</cp:revision>
  <cp:lastPrinted>2018-12-11T11:37:00Z</cp:lastPrinted>
  <dcterms:created xsi:type="dcterms:W3CDTF">2023-01-13T08:26:00Z</dcterms:created>
  <dcterms:modified xsi:type="dcterms:W3CDTF">2023-01-13T08:30:00Z</dcterms:modified>
</cp:coreProperties>
</file>