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0D718B" w:rsidRPr="00866FA5" w14:paraId="234676BA" w14:textId="77777777" w:rsidTr="00E84439">
        <w:tc>
          <w:tcPr>
            <w:tcW w:w="2268" w:type="dxa"/>
          </w:tcPr>
          <w:p w14:paraId="7A83591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1BFEBDD9" w14:textId="695A2E8C" w:rsidR="000D718B" w:rsidRPr="00866FA5" w:rsidRDefault="00A26B90" w:rsidP="00E84439">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16C601AE" w14:textId="77777777" w:rsidR="000D718B" w:rsidRPr="00866FA5" w:rsidRDefault="000D718B" w:rsidP="00E84439">
            <w:pPr>
              <w:rPr>
                <w:rFonts w:ascii="Georgia" w:hAnsi="Georgia"/>
                <w:b/>
                <w:bCs/>
                <w:color w:val="365F91"/>
                <w:sz w:val="16"/>
              </w:rPr>
            </w:pPr>
            <w:r w:rsidRPr="00866FA5">
              <w:rPr>
                <w:rFonts w:ascii="Georgia" w:hAnsi="Georgia"/>
                <w:b/>
                <w:bCs/>
                <w:color w:val="365F91"/>
                <w:sz w:val="16"/>
              </w:rPr>
              <w:t>Rapportert av:</w:t>
            </w:r>
          </w:p>
        </w:tc>
        <w:tc>
          <w:tcPr>
            <w:tcW w:w="1800" w:type="dxa"/>
          </w:tcPr>
          <w:p w14:paraId="7467A0EF" w14:textId="77777777" w:rsidR="000D718B" w:rsidRDefault="00A26B90" w:rsidP="00E84439">
            <w:pPr>
              <w:rPr>
                <w:rFonts w:ascii="Georgia" w:hAnsi="Georgia"/>
                <w:b/>
                <w:bCs/>
                <w:color w:val="365F91"/>
                <w:sz w:val="16"/>
              </w:rPr>
            </w:pPr>
            <w:r>
              <w:rPr>
                <w:rFonts w:ascii="Georgia" w:hAnsi="Georgia"/>
                <w:b/>
                <w:bCs/>
                <w:color w:val="365F91"/>
                <w:sz w:val="16"/>
              </w:rPr>
              <w:t>Elin O. Rosvold</w:t>
            </w:r>
          </w:p>
          <w:p w14:paraId="453B2D81" w14:textId="73699A5A" w:rsidR="00A26B90" w:rsidRPr="00866FA5" w:rsidRDefault="00A26B90" w:rsidP="00E84439">
            <w:pPr>
              <w:rPr>
                <w:rFonts w:ascii="Georgia" w:hAnsi="Georgia"/>
                <w:b/>
                <w:bCs/>
                <w:color w:val="365F91"/>
                <w:sz w:val="16"/>
              </w:rPr>
            </w:pPr>
            <w:r>
              <w:rPr>
                <w:rFonts w:ascii="Georgia" w:hAnsi="Georgia"/>
                <w:b/>
                <w:bCs/>
                <w:color w:val="365F91"/>
                <w:sz w:val="16"/>
              </w:rPr>
              <w:t>Knut Tore Stokke</w:t>
            </w:r>
          </w:p>
        </w:tc>
        <w:tc>
          <w:tcPr>
            <w:tcW w:w="1163" w:type="dxa"/>
          </w:tcPr>
          <w:p w14:paraId="0A4D77AC" w14:textId="77777777" w:rsidR="000D718B" w:rsidRDefault="000D718B" w:rsidP="00E84439">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58F4B1BD" w14:textId="2C6285DF" w:rsidR="000D718B" w:rsidRPr="00866FA5" w:rsidRDefault="00602297" w:rsidP="00A8526E">
            <w:pPr>
              <w:rPr>
                <w:rFonts w:ascii="Georgia" w:hAnsi="Georgia"/>
                <w:b/>
                <w:bCs/>
                <w:color w:val="365F91"/>
                <w:sz w:val="16"/>
              </w:rPr>
            </w:pPr>
            <w:r>
              <w:rPr>
                <w:rFonts w:ascii="Georgia" w:hAnsi="Georgia"/>
                <w:b/>
                <w:bCs/>
                <w:color w:val="365F91"/>
                <w:sz w:val="16"/>
              </w:rPr>
              <w:t>T</w:t>
            </w:r>
            <w:r w:rsidR="00E152BA">
              <w:rPr>
                <w:rFonts w:ascii="Georgia" w:hAnsi="Georgia"/>
                <w:b/>
                <w:bCs/>
                <w:color w:val="365F91"/>
                <w:sz w:val="16"/>
              </w:rPr>
              <w:t>1</w:t>
            </w:r>
            <w:r w:rsidR="00A8526E">
              <w:rPr>
                <w:rFonts w:ascii="Georgia" w:hAnsi="Georgia"/>
                <w:b/>
                <w:bCs/>
                <w:color w:val="365F91"/>
                <w:sz w:val="16"/>
              </w:rPr>
              <w:t>– 20</w:t>
            </w:r>
            <w:r w:rsidR="00B45DA4">
              <w:rPr>
                <w:rFonts w:ascii="Georgia" w:hAnsi="Georgia"/>
                <w:b/>
                <w:bCs/>
                <w:color w:val="365F91"/>
                <w:sz w:val="16"/>
              </w:rPr>
              <w:t>2</w:t>
            </w:r>
            <w:r w:rsidR="00E152BA">
              <w:rPr>
                <w:rFonts w:ascii="Georgia" w:hAnsi="Georgia"/>
                <w:b/>
                <w:bCs/>
                <w:color w:val="365F91"/>
                <w:sz w:val="16"/>
              </w:rPr>
              <w:t>3</w:t>
            </w:r>
          </w:p>
        </w:tc>
        <w:tc>
          <w:tcPr>
            <w:tcW w:w="1098" w:type="dxa"/>
          </w:tcPr>
          <w:p w14:paraId="3E53789A" w14:textId="10F8AAF2" w:rsidR="000D718B" w:rsidRPr="00866FA5" w:rsidRDefault="00A06CE9" w:rsidP="00E84439">
            <w:pPr>
              <w:rPr>
                <w:rFonts w:ascii="Georgia" w:hAnsi="Georgia"/>
                <w:b/>
                <w:bCs/>
                <w:color w:val="365F91"/>
                <w:sz w:val="16"/>
              </w:rPr>
            </w:pPr>
            <w:r>
              <w:rPr>
                <w:rFonts w:ascii="Georgia" w:hAnsi="Georgia"/>
                <w:b/>
                <w:bCs/>
                <w:color w:val="365F91"/>
                <w:sz w:val="16"/>
              </w:rPr>
              <w:t>Dato:</w:t>
            </w:r>
            <w:r w:rsidR="00A26B90">
              <w:rPr>
                <w:rFonts w:ascii="Georgia" w:hAnsi="Georgia"/>
                <w:b/>
                <w:bCs/>
                <w:color w:val="365F91"/>
                <w:sz w:val="16"/>
              </w:rPr>
              <w:t xml:space="preserve"> 15.5.23</w:t>
            </w:r>
          </w:p>
        </w:tc>
      </w:tr>
    </w:tbl>
    <w:p w14:paraId="61457BAF" w14:textId="3F8A09F7" w:rsidR="000D718B" w:rsidRDefault="00A26B90" w:rsidP="00964F9E">
      <w:pPr>
        <w:pStyle w:val="Heading1"/>
        <w:spacing w:before="240"/>
        <w:rPr>
          <w:rFonts w:ascii="Georgia" w:hAnsi="Georgia"/>
          <w:lang w:val="nb-NO"/>
        </w:rPr>
      </w:pPr>
      <w:r>
        <w:rPr>
          <w:rFonts w:ascii="Georgia" w:hAnsi="Georgia"/>
          <w:lang w:val="nb-NO"/>
        </w:rPr>
        <w:t>Ø</w:t>
      </w:r>
      <w:r w:rsidR="000D718B">
        <w:rPr>
          <w:rFonts w:ascii="Georgia" w:hAnsi="Georgia"/>
          <w:lang w:val="nb-NO"/>
        </w:rPr>
        <w:t>konomirapport</w:t>
      </w:r>
      <w:r>
        <w:rPr>
          <w:rFonts w:ascii="Georgia" w:hAnsi="Georgia"/>
          <w:lang w:val="nb-NO"/>
        </w:rPr>
        <w:t xml:space="preserve"> </w:t>
      </w:r>
      <w:proofErr w:type="spellStart"/>
      <w:r>
        <w:rPr>
          <w:rFonts w:ascii="Georgia" w:hAnsi="Georgia"/>
          <w:lang w:val="nb-NO"/>
        </w:rPr>
        <w:t>Helsam</w:t>
      </w:r>
      <w:proofErr w:type="spellEnd"/>
      <w:r>
        <w:rPr>
          <w:rFonts w:ascii="Georgia" w:hAnsi="Georgia"/>
          <w:lang w:val="nb-NO"/>
        </w:rPr>
        <w:t xml:space="preserve"> T1 2023 </w:t>
      </w:r>
    </w:p>
    <w:p w14:paraId="4BF2688A" w14:textId="4BA40E89" w:rsidR="00623F24" w:rsidRDefault="00623F24" w:rsidP="00B068CB">
      <w:pPr>
        <w:pStyle w:val="Georgia11spacing10after"/>
        <w:spacing w:after="0"/>
        <w:rPr>
          <w:sz w:val="20"/>
        </w:rPr>
      </w:pPr>
    </w:p>
    <w:p w14:paraId="20A573B5" w14:textId="77777777" w:rsidR="00623F24" w:rsidRPr="00E63A77" w:rsidRDefault="00623F24" w:rsidP="00B068CB">
      <w:pPr>
        <w:pStyle w:val="Georgia11spacing10after"/>
        <w:spacing w:after="0"/>
        <w:rPr>
          <w:b/>
          <w:bCs/>
          <w:color w:val="365F91" w:themeColor="accent1" w:themeShade="BF"/>
          <w:sz w:val="20"/>
        </w:rPr>
      </w:pPr>
    </w:p>
    <w:p w14:paraId="0F2D4234" w14:textId="77777777" w:rsidR="001178CE" w:rsidRDefault="001178CE" w:rsidP="00CF2294">
      <w:pPr>
        <w:pStyle w:val="Georgia11spacing10after"/>
        <w:spacing w:after="0"/>
        <w:rPr>
          <w:b/>
          <w:bCs/>
          <w:color w:val="365F91" w:themeColor="accent1" w:themeShade="BF"/>
          <w:szCs w:val="24"/>
          <w:lang w:val="nb-NO"/>
        </w:rPr>
      </w:pPr>
      <w:r>
        <w:rPr>
          <w:b/>
          <w:bCs/>
          <w:color w:val="365F91" w:themeColor="accent1" w:themeShade="BF"/>
          <w:szCs w:val="24"/>
          <w:lang w:val="nb-NO"/>
        </w:rPr>
        <w:t>Totaløkonomien</w:t>
      </w:r>
    </w:p>
    <w:p w14:paraId="499D2954" w14:textId="5CC92504" w:rsidR="003532D8" w:rsidRDefault="00A26B90" w:rsidP="00A26B90">
      <w:r>
        <w:t xml:space="preserve">Den overordnede økonomiske situasjonen ved </w:t>
      </w:r>
      <w:proofErr w:type="spellStart"/>
      <w:r>
        <w:t>Helsam</w:t>
      </w:r>
      <w:proofErr w:type="spellEnd"/>
      <w:r>
        <w:t xml:space="preserve"> </w:t>
      </w:r>
      <w:r w:rsidR="00DA274E">
        <w:t xml:space="preserve">er ikke vesentlig endret gjennom første tertial. Bevilgningsøkonomien er svært presset og vi forventer å gå ut av året med et betydelig akkumulert overforbruk. </w:t>
      </w:r>
      <w:r w:rsidR="003532D8">
        <w:t>Hovedutfordringen er en kombinasjon av kutt i inntekter og økning i aktivitet som følge av oppstart av ny</w:t>
      </w:r>
      <w:r w:rsidR="0038385D">
        <w:t xml:space="preserve">e aktiviteter (nytt masterprogram og Campus sør). Det er svært begrensede muligheter for å redusere aktivitet på kort sikt ettersom prosessene med endringer og eventuell avvikling av studietilbud tar lang tid. </w:t>
      </w:r>
    </w:p>
    <w:p w14:paraId="2B9DEBF0" w14:textId="77777777" w:rsidR="0038385D" w:rsidRDefault="0038385D" w:rsidP="00A26B90"/>
    <w:p w14:paraId="783A3DD3" w14:textId="4BD87213" w:rsidR="001178CE" w:rsidRDefault="00DA274E" w:rsidP="00A26B90">
      <w:r>
        <w:t xml:space="preserve">BOA-virksomheten utvikler seg som forventet, men summen av en stor portefølje av prosjekter medfører større naturlige svingninger enn for bevilgningsøkonomien. </w:t>
      </w:r>
    </w:p>
    <w:p w14:paraId="7E4154D7" w14:textId="77777777" w:rsidR="001178CE" w:rsidRDefault="001178CE" w:rsidP="00CF2294">
      <w:pPr>
        <w:pStyle w:val="Georgia11spacing10after"/>
        <w:spacing w:after="0"/>
        <w:rPr>
          <w:b/>
          <w:bCs/>
          <w:color w:val="365F91" w:themeColor="accent1" w:themeShade="BF"/>
          <w:szCs w:val="24"/>
          <w:lang w:val="nb-NO"/>
        </w:rPr>
      </w:pPr>
    </w:p>
    <w:p w14:paraId="0BA05775" w14:textId="2B60C35A" w:rsidR="00FC74A5" w:rsidRDefault="00E63A77" w:rsidP="00CF2294">
      <w:pPr>
        <w:pStyle w:val="Georgia11spacing10after"/>
        <w:spacing w:after="0"/>
        <w:rPr>
          <w:b/>
          <w:bCs/>
          <w:color w:val="365F91" w:themeColor="accent1" w:themeShade="BF"/>
          <w:szCs w:val="24"/>
          <w:lang w:val="nb-NO"/>
        </w:rPr>
      </w:pPr>
      <w:r w:rsidRPr="00E63A77">
        <w:rPr>
          <w:b/>
          <w:bCs/>
          <w:color w:val="365F91" w:themeColor="accent1" w:themeShade="BF"/>
          <w:szCs w:val="24"/>
          <w:lang w:val="nb-NO"/>
        </w:rPr>
        <w:t>Basisfinansiert virksomhet</w:t>
      </w:r>
    </w:p>
    <w:p w14:paraId="3A33284A" w14:textId="7183B559" w:rsidR="001178CE" w:rsidRDefault="001178CE" w:rsidP="00CF2294">
      <w:pPr>
        <w:pStyle w:val="Georgia11spacing10after"/>
        <w:spacing w:after="0"/>
        <w:rPr>
          <w:b/>
          <w:bCs/>
          <w:color w:val="365F91" w:themeColor="accent1" w:themeShade="BF"/>
          <w:szCs w:val="24"/>
          <w:lang w:val="nb-NO"/>
        </w:rPr>
      </w:pPr>
    </w:p>
    <w:p w14:paraId="64D10C25" w14:textId="468CA0D5" w:rsidR="001178CE" w:rsidRDefault="003607CF" w:rsidP="00CF2294">
      <w:pPr>
        <w:pStyle w:val="Georgia11spacing10after"/>
        <w:spacing w:after="0"/>
        <w:rPr>
          <w:b/>
          <w:bCs/>
          <w:color w:val="365F91" w:themeColor="accent1" w:themeShade="BF"/>
          <w:szCs w:val="24"/>
          <w:lang w:val="nb-NO"/>
        </w:rPr>
      </w:pPr>
      <w:r w:rsidRPr="003607CF">
        <w:rPr>
          <w:noProof/>
        </w:rPr>
        <w:drawing>
          <wp:inline distT="0" distB="0" distL="0" distR="0" wp14:anchorId="5C79EFC4" wp14:editId="1E3AE3B3">
            <wp:extent cx="5731510" cy="21342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34235"/>
                    </a:xfrm>
                    <a:prstGeom prst="rect">
                      <a:avLst/>
                    </a:prstGeom>
                    <a:noFill/>
                    <a:ln>
                      <a:noFill/>
                    </a:ln>
                  </pic:spPr>
                </pic:pic>
              </a:graphicData>
            </a:graphic>
          </wp:inline>
        </w:drawing>
      </w:r>
    </w:p>
    <w:p w14:paraId="0F801C33" w14:textId="40C68A72" w:rsidR="001178CE" w:rsidRDefault="001178CE" w:rsidP="00CF2294">
      <w:pPr>
        <w:pStyle w:val="Georgia11spacing10after"/>
        <w:spacing w:after="0"/>
        <w:rPr>
          <w:rFonts w:asciiTheme="majorHAnsi" w:hAnsiTheme="majorHAnsi" w:cstheme="majorHAnsi"/>
          <w:bCs/>
          <w:lang w:val="nb-NO"/>
        </w:rPr>
      </w:pPr>
    </w:p>
    <w:p w14:paraId="60858862" w14:textId="12D38CE8" w:rsidR="001178CE" w:rsidRDefault="001178CE" w:rsidP="00CF2294">
      <w:pPr>
        <w:pStyle w:val="Georgia11spacing10after"/>
        <w:spacing w:after="0"/>
        <w:rPr>
          <w:rFonts w:asciiTheme="majorHAnsi" w:hAnsiTheme="majorHAnsi" w:cstheme="majorHAnsi"/>
          <w:bCs/>
          <w:u w:val="single"/>
          <w:lang w:val="nb-NO"/>
        </w:rPr>
      </w:pPr>
      <w:r w:rsidRPr="001178CE">
        <w:rPr>
          <w:rFonts w:asciiTheme="majorHAnsi" w:hAnsiTheme="majorHAnsi" w:cstheme="majorHAnsi"/>
          <w:bCs/>
          <w:u w:val="single"/>
          <w:lang w:val="nb-NO"/>
        </w:rPr>
        <w:t>Inntekter</w:t>
      </w:r>
      <w:r>
        <w:rPr>
          <w:rFonts w:asciiTheme="majorHAnsi" w:hAnsiTheme="majorHAnsi" w:cstheme="majorHAnsi"/>
          <w:bCs/>
          <w:u w:val="single"/>
          <w:lang w:val="nb-NO"/>
        </w:rPr>
        <w:t>:</w:t>
      </w:r>
    </w:p>
    <w:p w14:paraId="43D1BBF7" w14:textId="77777777" w:rsidR="003532D8" w:rsidRDefault="007D4243" w:rsidP="007D4243">
      <w:r>
        <w:t xml:space="preserve">Inntektene er lavere enn opprinnelig budsjett som følge av at tildelingen til Senter for global helse er flyttet til Enhet for bærekraftig helse og fordi kuttet for å håndtere ekstraordinære energikostnader ikke var klart når budsjettet for 2023 ble levert i desember. </w:t>
      </w:r>
    </w:p>
    <w:p w14:paraId="7C0E4E22" w14:textId="77777777" w:rsidR="003532D8" w:rsidRDefault="003532D8" w:rsidP="007D4243"/>
    <w:p w14:paraId="3BCC5CD6" w14:textId="579C9B9E" w:rsidR="007D4243" w:rsidRDefault="007D4243" w:rsidP="007D4243">
      <w:r>
        <w:t xml:space="preserve">Avviket mot justert prognose er primært knyttet til ikke-budsjettert </w:t>
      </w:r>
      <w:r w:rsidR="00260808">
        <w:t xml:space="preserve">sentral egenfinansiering for fellesløftprosjekter. </w:t>
      </w:r>
    </w:p>
    <w:p w14:paraId="0DBCBF1D" w14:textId="77777777" w:rsidR="0022748F" w:rsidRDefault="0022748F" w:rsidP="00CF2294">
      <w:pPr>
        <w:pStyle w:val="Georgia11spacing10after"/>
        <w:spacing w:after="0"/>
        <w:rPr>
          <w:rFonts w:asciiTheme="majorHAnsi" w:hAnsiTheme="majorHAnsi" w:cstheme="majorHAnsi"/>
          <w:bCs/>
          <w:u w:val="single"/>
          <w:lang w:val="nb-NO"/>
        </w:rPr>
      </w:pPr>
    </w:p>
    <w:p w14:paraId="50481E5D" w14:textId="1BC1451F" w:rsidR="001178CE" w:rsidRDefault="001178CE" w:rsidP="00CF2294">
      <w:pPr>
        <w:pStyle w:val="Georgia11spacing10after"/>
        <w:spacing w:after="0"/>
        <w:rPr>
          <w:rFonts w:asciiTheme="majorHAnsi" w:hAnsiTheme="majorHAnsi" w:cstheme="majorHAnsi"/>
          <w:bCs/>
          <w:u w:val="single"/>
          <w:lang w:val="nb-NO"/>
        </w:rPr>
      </w:pPr>
      <w:r>
        <w:rPr>
          <w:rFonts w:asciiTheme="majorHAnsi" w:hAnsiTheme="majorHAnsi" w:cstheme="majorHAnsi"/>
          <w:bCs/>
          <w:u w:val="single"/>
          <w:lang w:val="nb-NO"/>
        </w:rPr>
        <w:t>Personalkostnader:</w:t>
      </w:r>
    </w:p>
    <w:p w14:paraId="1E0BAC91" w14:textId="5CACD358" w:rsidR="0038385D" w:rsidRDefault="007D4243" w:rsidP="007D4243">
      <w:r>
        <w:t xml:space="preserve">Personalkostnadene ligger på samme nivå som innlevert budsjett og oppdatert prognose. Det innebærer at personalkostnadene ligger høyere enn opprinnelig planlagt ettersom det opprinnelige budsjettet inneholdt personalkostnader knyttet til Senter for global helse. </w:t>
      </w:r>
      <w:r w:rsidR="003532D8">
        <w:t xml:space="preserve">Forklaringen er at det opprinnelige budsjettet manglet disponible vikarmidler for å dekke opp kortsiktige undervisningsbehov. </w:t>
      </w:r>
    </w:p>
    <w:p w14:paraId="18B6740A" w14:textId="77777777" w:rsidR="007D4243" w:rsidRDefault="007D4243" w:rsidP="007D4243"/>
    <w:p w14:paraId="5FD72524" w14:textId="77777777" w:rsidR="0022748F" w:rsidRDefault="0022748F" w:rsidP="00CF2294">
      <w:pPr>
        <w:pStyle w:val="Georgia11spacing10after"/>
        <w:spacing w:after="0"/>
        <w:rPr>
          <w:rFonts w:asciiTheme="majorHAnsi" w:hAnsiTheme="majorHAnsi" w:cstheme="majorHAnsi"/>
          <w:bCs/>
          <w:lang w:val="nb-NO"/>
        </w:rPr>
      </w:pPr>
      <w:r w:rsidRPr="0022748F">
        <w:rPr>
          <w:rFonts w:asciiTheme="majorHAnsi" w:hAnsiTheme="majorHAnsi" w:cstheme="majorHAnsi"/>
          <w:bCs/>
          <w:lang w:val="nb-NO"/>
        </w:rPr>
        <w:t xml:space="preserve">Tabell 2: Årsverksutvikling bevilgningsfinansiert virksomhet </w:t>
      </w:r>
    </w:p>
    <w:p w14:paraId="68FDB51D" w14:textId="1F5D7827" w:rsidR="001178CE" w:rsidRDefault="001178CE" w:rsidP="00CF2294">
      <w:pPr>
        <w:pStyle w:val="Georgia11spacing10after"/>
        <w:spacing w:after="0"/>
        <w:rPr>
          <w:rFonts w:asciiTheme="majorHAnsi" w:hAnsiTheme="majorHAnsi" w:cstheme="majorHAnsi"/>
          <w:bCs/>
          <w:lang w:val="nb-NO"/>
        </w:rPr>
      </w:pPr>
      <w:r>
        <w:rPr>
          <w:rFonts w:asciiTheme="majorHAnsi" w:hAnsiTheme="majorHAnsi" w:cstheme="majorHAnsi"/>
          <w:bCs/>
          <w:lang w:val="nb-NO"/>
        </w:rPr>
        <w:t>(lim inn tabell)</w:t>
      </w:r>
    </w:p>
    <w:p w14:paraId="17FA850C" w14:textId="77777777" w:rsidR="001178CE" w:rsidRDefault="001178CE" w:rsidP="00CF2294">
      <w:pPr>
        <w:pStyle w:val="Georgia11spacing10after"/>
        <w:spacing w:after="0"/>
        <w:rPr>
          <w:rFonts w:asciiTheme="majorHAnsi" w:hAnsiTheme="majorHAnsi" w:cstheme="majorHAnsi"/>
          <w:bCs/>
          <w:lang w:val="nb-NO"/>
        </w:rPr>
      </w:pPr>
    </w:p>
    <w:p w14:paraId="03188762" w14:textId="77777777" w:rsidR="001178CE" w:rsidRPr="001178CE" w:rsidRDefault="001178CE" w:rsidP="00CF2294">
      <w:pPr>
        <w:pStyle w:val="Georgia11spacing10after"/>
        <w:spacing w:after="0"/>
        <w:rPr>
          <w:rFonts w:asciiTheme="majorHAnsi" w:hAnsiTheme="majorHAnsi" w:cstheme="majorHAnsi"/>
          <w:bCs/>
          <w:lang w:val="nb-NO"/>
        </w:rPr>
      </w:pPr>
    </w:p>
    <w:p w14:paraId="649D14A9" w14:textId="760F3078" w:rsidR="001178CE" w:rsidRDefault="001178CE" w:rsidP="00CF2294">
      <w:pPr>
        <w:pStyle w:val="Georgia11spacing10after"/>
        <w:spacing w:after="0"/>
        <w:rPr>
          <w:rFonts w:asciiTheme="majorHAnsi" w:hAnsiTheme="majorHAnsi" w:cstheme="majorHAnsi"/>
          <w:bCs/>
          <w:u w:val="single"/>
          <w:lang w:val="nb-NO"/>
        </w:rPr>
      </w:pPr>
      <w:r>
        <w:rPr>
          <w:rFonts w:asciiTheme="majorHAnsi" w:hAnsiTheme="majorHAnsi" w:cstheme="majorHAnsi"/>
          <w:bCs/>
          <w:u w:val="single"/>
          <w:lang w:val="nb-NO"/>
        </w:rPr>
        <w:t>Driftskostnader:</w:t>
      </w:r>
    </w:p>
    <w:p w14:paraId="46B2417D" w14:textId="4592718E" w:rsidR="001178CE" w:rsidRDefault="0038385D" w:rsidP="0038385D">
      <w:r>
        <w:t>Driftskostnadene er noe lavere enn forventet</w:t>
      </w:r>
      <w:r w:rsidR="0073294B">
        <w:t xml:space="preserve"> i perioden. Sammenlignet med første tertial i fjor så er det en betydelig økning i kostnader som primært må tilskrives at aktivitetsnivået i samme periode i fjor fortsatt var preget av pandemirestriksjoner. </w:t>
      </w:r>
    </w:p>
    <w:p w14:paraId="2C1E2688" w14:textId="77777777" w:rsidR="0022748F" w:rsidRDefault="0022748F" w:rsidP="00CF2294">
      <w:pPr>
        <w:pStyle w:val="Georgia11spacing10after"/>
        <w:spacing w:after="0"/>
        <w:rPr>
          <w:rFonts w:asciiTheme="majorHAnsi" w:hAnsiTheme="majorHAnsi" w:cstheme="majorHAnsi"/>
          <w:bCs/>
          <w:u w:val="single"/>
          <w:lang w:val="nb-NO"/>
        </w:rPr>
      </w:pPr>
    </w:p>
    <w:p w14:paraId="3E60ACCA" w14:textId="58D1673D" w:rsidR="001178CE" w:rsidRDefault="001178CE" w:rsidP="00CF2294">
      <w:pPr>
        <w:pStyle w:val="Georgia11spacing10after"/>
        <w:spacing w:after="0"/>
        <w:rPr>
          <w:rFonts w:asciiTheme="majorHAnsi" w:hAnsiTheme="majorHAnsi" w:cstheme="majorHAnsi"/>
          <w:bCs/>
          <w:u w:val="single"/>
          <w:lang w:val="nb-NO"/>
        </w:rPr>
      </w:pPr>
      <w:r>
        <w:rPr>
          <w:rFonts w:asciiTheme="majorHAnsi" w:hAnsiTheme="majorHAnsi" w:cstheme="majorHAnsi"/>
          <w:bCs/>
          <w:u w:val="single"/>
          <w:lang w:val="nb-NO"/>
        </w:rPr>
        <w:t>Investeringer:</w:t>
      </w:r>
    </w:p>
    <w:p w14:paraId="74726985" w14:textId="38F0D435" w:rsidR="001178CE" w:rsidRDefault="0073294B" w:rsidP="0073294B">
      <w:r>
        <w:t xml:space="preserve">Investeringer ved </w:t>
      </w:r>
      <w:proofErr w:type="spellStart"/>
      <w:r>
        <w:t>Helsam</w:t>
      </w:r>
      <w:proofErr w:type="spellEnd"/>
      <w:r>
        <w:t xml:space="preserve"> er primært knyttet til IT/AV-utstyr og kontormøbler. Det gjør det krevende å få en god periodisering av kostnader, og siden investeringene utgjør en svært begrenset del av bevilgningsøkonomien er det i liten grad fokus på å følge opp dette.  </w:t>
      </w:r>
    </w:p>
    <w:p w14:paraId="72F2AA5C" w14:textId="77777777" w:rsidR="0022748F" w:rsidRDefault="0022748F" w:rsidP="00CF2294">
      <w:pPr>
        <w:pStyle w:val="Georgia11spacing10after"/>
        <w:spacing w:after="0"/>
        <w:rPr>
          <w:rFonts w:asciiTheme="majorHAnsi" w:hAnsiTheme="majorHAnsi" w:cstheme="majorHAnsi"/>
          <w:bCs/>
          <w:u w:val="single"/>
          <w:lang w:val="nb-NO"/>
        </w:rPr>
      </w:pPr>
    </w:p>
    <w:p w14:paraId="161AE330" w14:textId="1BB8F3E5" w:rsidR="001178CE" w:rsidRDefault="001178CE" w:rsidP="00CF2294">
      <w:pPr>
        <w:pStyle w:val="Georgia11spacing10after"/>
        <w:spacing w:after="0"/>
        <w:rPr>
          <w:rFonts w:asciiTheme="majorHAnsi" w:hAnsiTheme="majorHAnsi" w:cstheme="majorHAnsi"/>
          <w:bCs/>
          <w:u w:val="single"/>
          <w:lang w:val="nb-NO"/>
        </w:rPr>
      </w:pPr>
      <w:r>
        <w:rPr>
          <w:rFonts w:asciiTheme="majorHAnsi" w:hAnsiTheme="majorHAnsi" w:cstheme="majorHAnsi"/>
          <w:bCs/>
          <w:u w:val="single"/>
          <w:lang w:val="nb-NO"/>
        </w:rPr>
        <w:t>Nettobidrag:</w:t>
      </w:r>
    </w:p>
    <w:p w14:paraId="21714C6B" w14:textId="5D9E236B" w:rsidR="0022748F" w:rsidRDefault="0073294B" w:rsidP="003607CF">
      <w:proofErr w:type="spellStart"/>
      <w:r>
        <w:t>Helsam</w:t>
      </w:r>
      <w:proofErr w:type="spellEnd"/>
      <w:r>
        <w:t xml:space="preserve"> har et stort nettobidrag fordi frikjøp av faste ansatte utgjør en stor del av BOA-virksomheten. </w:t>
      </w:r>
      <w:r w:rsidR="003607CF">
        <w:t>Frikjøp og overhead er som forventet i budsjettet, mens egenandelen er ca. 3,9 mill. lavere enn forventet.</w:t>
      </w:r>
      <w:r w:rsidR="00C9364F">
        <w:t xml:space="preserve"> </w:t>
      </w:r>
      <w:proofErr w:type="gramStart"/>
      <w:r w:rsidR="003607CF">
        <w:t>Det</w:t>
      </w:r>
      <w:proofErr w:type="gramEnd"/>
      <w:r w:rsidR="003607CF">
        <w:t xml:space="preserve"> må sees i sammenheng med gjennomførte prosjektavslutninger hvor utgående prosjekter er avsluttet med underskudd framfor en manuell egenandelsføring for prosjektene er avsluttet. Korrigert for prosjektavslutninger så er effekten fra BOA-virksomheten mot bevilgningsøkonomien som forventet. </w:t>
      </w:r>
    </w:p>
    <w:p w14:paraId="12319D64" w14:textId="146FD20F" w:rsidR="001178CE" w:rsidRDefault="001178CE" w:rsidP="00CF2294">
      <w:pPr>
        <w:pStyle w:val="Georgia11spacing10after"/>
        <w:spacing w:after="0"/>
        <w:rPr>
          <w:rFonts w:asciiTheme="majorHAnsi" w:hAnsiTheme="majorHAnsi" w:cstheme="majorHAnsi"/>
          <w:bCs/>
          <w:u w:val="single"/>
          <w:lang w:val="nb-NO"/>
        </w:rPr>
      </w:pPr>
    </w:p>
    <w:p w14:paraId="20DA3CED" w14:textId="62C5580D" w:rsidR="001178CE" w:rsidRDefault="001178CE" w:rsidP="00CF2294">
      <w:pPr>
        <w:pStyle w:val="Georgia11spacing10after"/>
        <w:spacing w:after="0"/>
        <w:rPr>
          <w:rFonts w:asciiTheme="majorHAnsi" w:hAnsiTheme="majorHAnsi" w:cstheme="majorHAnsi"/>
          <w:bCs/>
          <w:u w:val="single"/>
          <w:lang w:val="nb-NO"/>
        </w:rPr>
      </w:pPr>
      <w:r>
        <w:rPr>
          <w:rFonts w:asciiTheme="majorHAnsi" w:hAnsiTheme="majorHAnsi" w:cstheme="majorHAnsi"/>
          <w:bCs/>
          <w:u w:val="single"/>
          <w:lang w:val="nb-NO"/>
        </w:rPr>
        <w:t>Overforbruk fra BOA:</w:t>
      </w:r>
    </w:p>
    <w:p w14:paraId="47CFCDDA" w14:textId="062A5459" w:rsidR="001178CE" w:rsidRDefault="001178CE" w:rsidP="003607CF"/>
    <w:p w14:paraId="0218565C" w14:textId="77777777" w:rsidR="001178CE" w:rsidRDefault="001178CE" w:rsidP="00CF2294">
      <w:pPr>
        <w:pStyle w:val="Georgia11spacing10after"/>
        <w:spacing w:after="0"/>
        <w:rPr>
          <w:rFonts w:asciiTheme="majorHAnsi" w:hAnsiTheme="majorHAnsi" w:cstheme="majorHAnsi"/>
          <w:bCs/>
          <w:u w:val="single"/>
          <w:lang w:val="nb-NO"/>
        </w:rPr>
      </w:pPr>
    </w:p>
    <w:p w14:paraId="4F766C3D" w14:textId="6E96BC34" w:rsidR="001178CE" w:rsidRPr="001178CE" w:rsidRDefault="001178CE" w:rsidP="00CF2294">
      <w:pPr>
        <w:pStyle w:val="Georgia11spacing10after"/>
        <w:spacing w:after="0"/>
        <w:rPr>
          <w:rFonts w:asciiTheme="majorHAnsi" w:hAnsiTheme="majorHAnsi" w:cstheme="majorHAnsi"/>
          <w:bCs/>
          <w:u w:val="single"/>
          <w:lang w:val="nb-NO"/>
        </w:rPr>
      </w:pPr>
      <w:r w:rsidRPr="001178CE">
        <w:rPr>
          <w:rFonts w:asciiTheme="majorHAnsi" w:hAnsiTheme="majorHAnsi" w:cstheme="majorHAnsi"/>
          <w:bCs/>
          <w:u w:val="single"/>
          <w:lang w:val="nb-NO"/>
        </w:rPr>
        <w:t>Øremerkede midler</w:t>
      </w:r>
      <w:r w:rsidR="00193EAA">
        <w:rPr>
          <w:rFonts w:asciiTheme="majorHAnsi" w:hAnsiTheme="majorHAnsi" w:cstheme="majorHAnsi"/>
          <w:bCs/>
          <w:u w:val="single"/>
          <w:lang w:val="nb-NO"/>
        </w:rPr>
        <w:t xml:space="preserve"> og avsetninger</w:t>
      </w:r>
    </w:p>
    <w:p w14:paraId="1DB6A9AE" w14:textId="77777777" w:rsidR="001178CE" w:rsidRDefault="001178CE" w:rsidP="00CF2294">
      <w:pPr>
        <w:pStyle w:val="Georgia11spacing10after"/>
        <w:spacing w:after="0"/>
        <w:rPr>
          <w:rFonts w:asciiTheme="majorHAnsi" w:hAnsiTheme="majorHAnsi" w:cstheme="majorHAnsi"/>
          <w:bCs/>
          <w:lang w:val="nb-NO"/>
        </w:rPr>
      </w:pPr>
    </w:p>
    <w:p w14:paraId="13F5F3A0" w14:textId="4A452BBB" w:rsidR="001178CE" w:rsidRDefault="001178CE" w:rsidP="00CF2294">
      <w:pPr>
        <w:pStyle w:val="Georgia11spacing10after"/>
        <w:spacing w:after="0"/>
        <w:rPr>
          <w:rFonts w:asciiTheme="majorHAnsi" w:hAnsiTheme="majorHAnsi" w:cstheme="majorHAnsi"/>
          <w:bCs/>
          <w:lang w:val="nb-NO"/>
        </w:rPr>
      </w:pPr>
      <w:r w:rsidRPr="001178CE">
        <w:rPr>
          <w:rFonts w:asciiTheme="majorHAnsi" w:hAnsiTheme="majorHAnsi" w:cstheme="majorHAnsi"/>
          <w:bCs/>
          <w:lang w:val="nb-NO"/>
        </w:rPr>
        <w:t>Tabell 3: Øremerkede midler</w:t>
      </w:r>
      <w:r w:rsidR="00193EAA">
        <w:rPr>
          <w:rFonts w:asciiTheme="majorHAnsi" w:hAnsiTheme="majorHAnsi" w:cstheme="majorHAnsi"/>
          <w:bCs/>
          <w:lang w:val="nb-NO"/>
        </w:rPr>
        <w:t xml:space="preserve"> og avsetninger</w:t>
      </w:r>
      <w:r>
        <w:rPr>
          <w:rFonts w:asciiTheme="majorHAnsi" w:hAnsiTheme="majorHAnsi" w:cstheme="majorHAnsi"/>
          <w:bCs/>
          <w:lang w:val="nb-NO"/>
        </w:rPr>
        <w:t xml:space="preserve"> </w:t>
      </w:r>
      <w:r w:rsidR="00C71178">
        <w:rPr>
          <w:rFonts w:asciiTheme="majorHAnsi" w:hAnsiTheme="majorHAnsi" w:cstheme="majorHAnsi"/>
          <w:bCs/>
          <w:lang w:val="nb-NO"/>
        </w:rPr>
        <w:t>(tall i 1000 kr)</w:t>
      </w:r>
    </w:p>
    <w:p w14:paraId="010A5B28" w14:textId="77777777" w:rsidR="0022748F" w:rsidRDefault="0022748F" w:rsidP="0022748F">
      <w:pPr>
        <w:pStyle w:val="Georgia11spacing10after"/>
        <w:spacing w:after="0"/>
        <w:rPr>
          <w:rFonts w:asciiTheme="majorHAnsi" w:hAnsiTheme="majorHAnsi" w:cstheme="majorHAnsi"/>
          <w:bCs/>
          <w:lang w:val="nb-NO"/>
        </w:rPr>
      </w:pPr>
      <w:r>
        <w:rPr>
          <w:rFonts w:asciiTheme="majorHAnsi" w:hAnsiTheme="majorHAnsi" w:cstheme="majorHAnsi"/>
          <w:bCs/>
          <w:lang w:val="nb-NO"/>
        </w:rPr>
        <w:t>(lim inn tabell)</w:t>
      </w:r>
    </w:p>
    <w:p w14:paraId="374F8767" w14:textId="77777777" w:rsidR="0022748F" w:rsidRDefault="0022748F" w:rsidP="00CF2294">
      <w:pPr>
        <w:pStyle w:val="Georgia11spacing10after"/>
        <w:spacing w:after="0"/>
        <w:rPr>
          <w:rFonts w:asciiTheme="majorHAnsi" w:hAnsiTheme="majorHAnsi" w:cstheme="majorHAnsi"/>
          <w:bCs/>
          <w:lang w:val="nb-NO"/>
        </w:rPr>
      </w:pPr>
    </w:p>
    <w:p w14:paraId="7B0177F1" w14:textId="77777777" w:rsidR="00827CE0" w:rsidRDefault="00827CE0" w:rsidP="00CF2294">
      <w:pPr>
        <w:pStyle w:val="Georgia11spacing10after"/>
        <w:spacing w:after="0"/>
        <w:rPr>
          <w:rFonts w:asciiTheme="majorHAnsi" w:hAnsiTheme="majorHAnsi" w:cstheme="majorHAnsi"/>
          <w:bCs/>
          <w:lang w:val="nb-NO"/>
        </w:rPr>
      </w:pPr>
    </w:p>
    <w:p w14:paraId="02BF4DF9" w14:textId="25D87EE0" w:rsidR="00C71178" w:rsidRPr="00827CE0" w:rsidRDefault="00C71178" w:rsidP="00CF2294">
      <w:pPr>
        <w:pStyle w:val="Georgia11spacing10after"/>
        <w:spacing w:after="0"/>
        <w:rPr>
          <w:rFonts w:asciiTheme="majorHAnsi" w:hAnsiTheme="majorHAnsi" w:cstheme="majorHAnsi"/>
          <w:bCs/>
          <w:u w:val="single"/>
          <w:lang w:val="nb-NO"/>
        </w:rPr>
      </w:pPr>
      <w:r w:rsidRPr="00827CE0">
        <w:rPr>
          <w:rFonts w:asciiTheme="majorHAnsi" w:hAnsiTheme="majorHAnsi" w:cstheme="majorHAnsi"/>
          <w:bCs/>
          <w:u w:val="single"/>
          <w:lang w:val="nb-NO"/>
        </w:rPr>
        <w:t>Juster budsjett 2023 (prognose per T1)</w:t>
      </w:r>
    </w:p>
    <w:p w14:paraId="7D8824D9" w14:textId="77777777" w:rsidR="00C71178" w:rsidRPr="001178CE" w:rsidRDefault="00C71178" w:rsidP="00CF2294">
      <w:pPr>
        <w:pStyle w:val="Georgia11spacing10after"/>
        <w:spacing w:after="0"/>
        <w:rPr>
          <w:rFonts w:asciiTheme="majorHAnsi" w:hAnsiTheme="majorHAnsi" w:cstheme="majorHAnsi"/>
          <w:bCs/>
          <w:lang w:val="nb-NO"/>
        </w:rPr>
      </w:pPr>
    </w:p>
    <w:tbl>
      <w:tblPr>
        <w:tblW w:w="8660" w:type="dxa"/>
        <w:tblCellMar>
          <w:left w:w="70" w:type="dxa"/>
          <w:right w:w="70" w:type="dxa"/>
        </w:tblCellMar>
        <w:tblLook w:val="04A0" w:firstRow="1" w:lastRow="0" w:firstColumn="1" w:lastColumn="0" w:noHBand="0" w:noVBand="1"/>
      </w:tblPr>
      <w:tblGrid>
        <w:gridCol w:w="3320"/>
        <w:gridCol w:w="1480"/>
        <w:gridCol w:w="1600"/>
        <w:gridCol w:w="1100"/>
        <w:gridCol w:w="1160"/>
      </w:tblGrid>
      <w:tr w:rsidR="008B1C42" w:rsidRPr="008B1C42" w14:paraId="7C3E9F43" w14:textId="77777777" w:rsidTr="008B1C42">
        <w:trPr>
          <w:trHeight w:val="735"/>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FC09F" w14:textId="77777777" w:rsidR="008B1C42" w:rsidRPr="008B1C42" w:rsidRDefault="008B1C42" w:rsidP="008B1C42">
            <w:pP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Bevilgningsfinansiert virksomhet</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CBD7446" w14:textId="77777777" w:rsidR="008B1C42" w:rsidRPr="008B1C42" w:rsidRDefault="008B1C42" w:rsidP="008B1C42">
            <w:pPr>
              <w:jc w:val="cente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Opprinnelig årsbudsjettet 2023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B22531B" w14:textId="77777777" w:rsidR="008B1C42" w:rsidRPr="008B1C42" w:rsidRDefault="008B1C42" w:rsidP="008B1C42">
            <w:pPr>
              <w:jc w:val="center"/>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Justert årsbudsjett 2023 (prognose per T1)</w:t>
            </w:r>
          </w:p>
        </w:tc>
        <w:tc>
          <w:tcPr>
            <w:tcW w:w="1100" w:type="dxa"/>
            <w:tcBorders>
              <w:top w:val="single" w:sz="4" w:space="0" w:color="auto"/>
              <w:left w:val="nil"/>
              <w:bottom w:val="single" w:sz="4" w:space="0" w:color="auto"/>
              <w:right w:val="nil"/>
            </w:tcBorders>
            <w:shd w:val="clear" w:color="auto" w:fill="auto"/>
            <w:vAlign w:val="bottom"/>
            <w:hideMark/>
          </w:tcPr>
          <w:p w14:paraId="4EDB1D0E" w14:textId="77777777" w:rsidR="008B1C42" w:rsidRPr="008B1C42" w:rsidRDefault="008B1C42" w:rsidP="008B1C42">
            <w:pPr>
              <w:jc w:val="center"/>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 xml:space="preserve">Endring budsjett i kr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691A7" w14:textId="77777777" w:rsidR="008B1C42" w:rsidRPr="008B1C42" w:rsidRDefault="008B1C42" w:rsidP="008B1C42">
            <w:pPr>
              <w:jc w:val="cente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Endring budsjett i %</w:t>
            </w:r>
          </w:p>
        </w:tc>
      </w:tr>
      <w:tr w:rsidR="008B1C42" w:rsidRPr="008B1C42" w14:paraId="364935EB"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0970C740"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Inntekter</w:t>
            </w:r>
          </w:p>
        </w:tc>
        <w:tc>
          <w:tcPr>
            <w:tcW w:w="1480" w:type="dxa"/>
            <w:tcBorders>
              <w:top w:val="nil"/>
              <w:left w:val="nil"/>
              <w:bottom w:val="nil"/>
              <w:right w:val="single" w:sz="4" w:space="0" w:color="auto"/>
            </w:tcBorders>
            <w:shd w:val="clear" w:color="auto" w:fill="auto"/>
            <w:noWrap/>
            <w:vAlign w:val="center"/>
            <w:hideMark/>
          </w:tcPr>
          <w:p w14:paraId="4698AA1B"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-104 062</w:t>
            </w:r>
          </w:p>
        </w:tc>
        <w:tc>
          <w:tcPr>
            <w:tcW w:w="1600" w:type="dxa"/>
            <w:tcBorders>
              <w:top w:val="nil"/>
              <w:left w:val="nil"/>
              <w:bottom w:val="nil"/>
              <w:right w:val="single" w:sz="4" w:space="0" w:color="auto"/>
            </w:tcBorders>
            <w:shd w:val="clear" w:color="auto" w:fill="auto"/>
            <w:noWrap/>
            <w:vAlign w:val="center"/>
            <w:hideMark/>
          </w:tcPr>
          <w:p w14:paraId="69C2AF10"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-95 993</w:t>
            </w:r>
          </w:p>
        </w:tc>
        <w:tc>
          <w:tcPr>
            <w:tcW w:w="1100" w:type="dxa"/>
            <w:tcBorders>
              <w:top w:val="nil"/>
              <w:left w:val="nil"/>
              <w:bottom w:val="nil"/>
              <w:right w:val="nil"/>
            </w:tcBorders>
            <w:shd w:val="clear" w:color="auto" w:fill="auto"/>
            <w:noWrap/>
            <w:vAlign w:val="center"/>
            <w:hideMark/>
          </w:tcPr>
          <w:p w14:paraId="6CC2F02C"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-8 069</w:t>
            </w:r>
          </w:p>
        </w:tc>
        <w:tc>
          <w:tcPr>
            <w:tcW w:w="1160" w:type="dxa"/>
            <w:tcBorders>
              <w:top w:val="nil"/>
              <w:left w:val="single" w:sz="4" w:space="0" w:color="auto"/>
              <w:bottom w:val="nil"/>
              <w:right w:val="single" w:sz="4" w:space="0" w:color="auto"/>
            </w:tcBorders>
            <w:shd w:val="clear" w:color="auto" w:fill="auto"/>
            <w:noWrap/>
            <w:vAlign w:val="center"/>
            <w:hideMark/>
          </w:tcPr>
          <w:p w14:paraId="0D84AF64"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8 %</w:t>
            </w:r>
          </w:p>
        </w:tc>
      </w:tr>
      <w:tr w:rsidR="008B1C42" w:rsidRPr="008B1C42" w14:paraId="2A56D3CC"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31A640C1"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Personalkostnader</w:t>
            </w:r>
          </w:p>
        </w:tc>
        <w:tc>
          <w:tcPr>
            <w:tcW w:w="1480" w:type="dxa"/>
            <w:tcBorders>
              <w:top w:val="nil"/>
              <w:left w:val="nil"/>
              <w:bottom w:val="nil"/>
              <w:right w:val="single" w:sz="4" w:space="0" w:color="auto"/>
            </w:tcBorders>
            <w:shd w:val="clear" w:color="auto" w:fill="auto"/>
            <w:noWrap/>
            <w:vAlign w:val="center"/>
            <w:hideMark/>
          </w:tcPr>
          <w:p w14:paraId="520EF16C"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136 731</w:t>
            </w:r>
          </w:p>
        </w:tc>
        <w:tc>
          <w:tcPr>
            <w:tcW w:w="1600" w:type="dxa"/>
            <w:tcBorders>
              <w:top w:val="nil"/>
              <w:left w:val="nil"/>
              <w:bottom w:val="nil"/>
              <w:right w:val="single" w:sz="4" w:space="0" w:color="auto"/>
            </w:tcBorders>
            <w:shd w:val="clear" w:color="auto" w:fill="auto"/>
            <w:noWrap/>
            <w:vAlign w:val="center"/>
            <w:hideMark/>
          </w:tcPr>
          <w:p w14:paraId="225096C0"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136 351</w:t>
            </w:r>
          </w:p>
        </w:tc>
        <w:tc>
          <w:tcPr>
            <w:tcW w:w="1100" w:type="dxa"/>
            <w:tcBorders>
              <w:top w:val="nil"/>
              <w:left w:val="nil"/>
              <w:bottom w:val="nil"/>
              <w:right w:val="nil"/>
            </w:tcBorders>
            <w:shd w:val="clear" w:color="auto" w:fill="auto"/>
            <w:noWrap/>
            <w:vAlign w:val="center"/>
            <w:hideMark/>
          </w:tcPr>
          <w:p w14:paraId="08B4076A"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380</w:t>
            </w:r>
          </w:p>
        </w:tc>
        <w:tc>
          <w:tcPr>
            <w:tcW w:w="1160" w:type="dxa"/>
            <w:tcBorders>
              <w:top w:val="nil"/>
              <w:left w:val="single" w:sz="4" w:space="0" w:color="auto"/>
              <w:bottom w:val="nil"/>
              <w:right w:val="single" w:sz="4" w:space="0" w:color="auto"/>
            </w:tcBorders>
            <w:shd w:val="clear" w:color="auto" w:fill="auto"/>
            <w:noWrap/>
            <w:vAlign w:val="center"/>
            <w:hideMark/>
          </w:tcPr>
          <w:p w14:paraId="7D8D21CE"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0 %</w:t>
            </w:r>
          </w:p>
        </w:tc>
      </w:tr>
      <w:tr w:rsidR="008B1C42" w:rsidRPr="008B1C42" w14:paraId="0FC45724"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60080B9B"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Driftskostnader</w:t>
            </w:r>
          </w:p>
        </w:tc>
        <w:tc>
          <w:tcPr>
            <w:tcW w:w="1480" w:type="dxa"/>
            <w:tcBorders>
              <w:top w:val="nil"/>
              <w:left w:val="nil"/>
              <w:bottom w:val="nil"/>
              <w:right w:val="single" w:sz="4" w:space="0" w:color="auto"/>
            </w:tcBorders>
            <w:shd w:val="clear" w:color="auto" w:fill="auto"/>
            <w:noWrap/>
            <w:vAlign w:val="center"/>
            <w:hideMark/>
          </w:tcPr>
          <w:p w14:paraId="2FB212A0"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14 615</w:t>
            </w:r>
          </w:p>
        </w:tc>
        <w:tc>
          <w:tcPr>
            <w:tcW w:w="1600" w:type="dxa"/>
            <w:tcBorders>
              <w:top w:val="nil"/>
              <w:left w:val="nil"/>
              <w:bottom w:val="nil"/>
              <w:right w:val="single" w:sz="4" w:space="0" w:color="auto"/>
            </w:tcBorders>
            <w:shd w:val="clear" w:color="auto" w:fill="auto"/>
            <w:noWrap/>
            <w:vAlign w:val="center"/>
            <w:hideMark/>
          </w:tcPr>
          <w:p w14:paraId="5D814B61"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13 486</w:t>
            </w:r>
          </w:p>
        </w:tc>
        <w:tc>
          <w:tcPr>
            <w:tcW w:w="1100" w:type="dxa"/>
            <w:tcBorders>
              <w:top w:val="nil"/>
              <w:left w:val="nil"/>
              <w:bottom w:val="nil"/>
              <w:right w:val="nil"/>
            </w:tcBorders>
            <w:shd w:val="clear" w:color="auto" w:fill="auto"/>
            <w:noWrap/>
            <w:vAlign w:val="center"/>
            <w:hideMark/>
          </w:tcPr>
          <w:p w14:paraId="4435BE7A"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1 129</w:t>
            </w:r>
          </w:p>
        </w:tc>
        <w:tc>
          <w:tcPr>
            <w:tcW w:w="1160" w:type="dxa"/>
            <w:tcBorders>
              <w:top w:val="nil"/>
              <w:left w:val="single" w:sz="4" w:space="0" w:color="auto"/>
              <w:bottom w:val="nil"/>
              <w:right w:val="single" w:sz="4" w:space="0" w:color="auto"/>
            </w:tcBorders>
            <w:shd w:val="clear" w:color="auto" w:fill="auto"/>
            <w:noWrap/>
            <w:vAlign w:val="center"/>
            <w:hideMark/>
          </w:tcPr>
          <w:p w14:paraId="5CD919EC"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-8 %</w:t>
            </w:r>
          </w:p>
        </w:tc>
      </w:tr>
      <w:tr w:rsidR="008B1C42" w:rsidRPr="008B1C42" w14:paraId="719B68C8"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7A4FC2D6"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Investeringer</w:t>
            </w:r>
          </w:p>
        </w:tc>
        <w:tc>
          <w:tcPr>
            <w:tcW w:w="1480" w:type="dxa"/>
            <w:tcBorders>
              <w:top w:val="nil"/>
              <w:left w:val="nil"/>
              <w:bottom w:val="nil"/>
              <w:right w:val="single" w:sz="4" w:space="0" w:color="auto"/>
            </w:tcBorders>
            <w:shd w:val="clear" w:color="auto" w:fill="auto"/>
            <w:noWrap/>
            <w:vAlign w:val="center"/>
            <w:hideMark/>
          </w:tcPr>
          <w:p w14:paraId="60F285E0"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1 900</w:t>
            </w:r>
          </w:p>
        </w:tc>
        <w:tc>
          <w:tcPr>
            <w:tcW w:w="1600" w:type="dxa"/>
            <w:tcBorders>
              <w:top w:val="nil"/>
              <w:left w:val="nil"/>
              <w:bottom w:val="nil"/>
              <w:right w:val="single" w:sz="4" w:space="0" w:color="auto"/>
            </w:tcBorders>
            <w:shd w:val="clear" w:color="auto" w:fill="auto"/>
            <w:noWrap/>
            <w:vAlign w:val="center"/>
            <w:hideMark/>
          </w:tcPr>
          <w:p w14:paraId="5306BF36"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1 900</w:t>
            </w:r>
          </w:p>
        </w:tc>
        <w:tc>
          <w:tcPr>
            <w:tcW w:w="1100" w:type="dxa"/>
            <w:tcBorders>
              <w:top w:val="nil"/>
              <w:left w:val="nil"/>
              <w:bottom w:val="nil"/>
              <w:right w:val="nil"/>
            </w:tcBorders>
            <w:shd w:val="clear" w:color="auto" w:fill="auto"/>
            <w:noWrap/>
            <w:vAlign w:val="center"/>
            <w:hideMark/>
          </w:tcPr>
          <w:p w14:paraId="44E2567B"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0</w:t>
            </w:r>
          </w:p>
        </w:tc>
        <w:tc>
          <w:tcPr>
            <w:tcW w:w="1160" w:type="dxa"/>
            <w:tcBorders>
              <w:top w:val="nil"/>
              <w:left w:val="single" w:sz="4" w:space="0" w:color="auto"/>
              <w:bottom w:val="nil"/>
              <w:right w:val="single" w:sz="4" w:space="0" w:color="auto"/>
            </w:tcBorders>
            <w:shd w:val="clear" w:color="auto" w:fill="auto"/>
            <w:noWrap/>
            <w:vAlign w:val="center"/>
            <w:hideMark/>
          </w:tcPr>
          <w:p w14:paraId="3A1C7AAF"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0 %</w:t>
            </w:r>
          </w:p>
        </w:tc>
      </w:tr>
      <w:tr w:rsidR="008B1C42" w:rsidRPr="008B1C42" w14:paraId="5B0AFE1E" w14:textId="77777777" w:rsidTr="008B1C42">
        <w:trPr>
          <w:trHeight w:val="495"/>
        </w:trPr>
        <w:tc>
          <w:tcPr>
            <w:tcW w:w="33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20FBF5B" w14:textId="77777777" w:rsidR="008B1C42" w:rsidRPr="008B1C42" w:rsidRDefault="008B1C42" w:rsidP="008B1C42">
            <w:pP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Isolert mer-/</w:t>
            </w:r>
            <w:proofErr w:type="spellStart"/>
            <w:r w:rsidRPr="008B1C42">
              <w:rPr>
                <w:rFonts w:ascii="Arial" w:eastAsia="Times New Roman" w:hAnsi="Arial" w:cs="Arial"/>
                <w:b/>
                <w:bCs/>
                <w:color w:val="000000"/>
                <w:sz w:val="18"/>
                <w:szCs w:val="18"/>
                <w:lang w:eastAsia="nb-NO"/>
              </w:rPr>
              <w:t>mindreforbruk</w:t>
            </w:r>
            <w:proofErr w:type="spellEnd"/>
            <w:r w:rsidRPr="008B1C42">
              <w:rPr>
                <w:rFonts w:ascii="Arial" w:eastAsia="Times New Roman" w:hAnsi="Arial" w:cs="Arial"/>
                <w:b/>
                <w:bCs/>
                <w:color w:val="000000"/>
                <w:sz w:val="18"/>
                <w:szCs w:val="18"/>
                <w:lang w:eastAsia="nb-NO"/>
              </w:rPr>
              <w:t xml:space="preserve"> uten nettobidrag og prosjektavslutning</w:t>
            </w:r>
          </w:p>
        </w:tc>
        <w:tc>
          <w:tcPr>
            <w:tcW w:w="1480" w:type="dxa"/>
            <w:tcBorders>
              <w:top w:val="single" w:sz="4" w:space="0" w:color="auto"/>
              <w:left w:val="nil"/>
              <w:bottom w:val="single" w:sz="4" w:space="0" w:color="auto"/>
              <w:right w:val="single" w:sz="4" w:space="0" w:color="auto"/>
            </w:tcBorders>
            <w:shd w:val="clear" w:color="000000" w:fill="E7E6E6"/>
            <w:noWrap/>
            <w:vAlign w:val="bottom"/>
            <w:hideMark/>
          </w:tcPr>
          <w:p w14:paraId="612D0C41" w14:textId="77777777" w:rsidR="008B1C42" w:rsidRPr="008B1C42" w:rsidRDefault="008B1C42" w:rsidP="008B1C42">
            <w:pPr>
              <w:jc w:val="right"/>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49 184</w:t>
            </w:r>
          </w:p>
        </w:tc>
        <w:tc>
          <w:tcPr>
            <w:tcW w:w="1600" w:type="dxa"/>
            <w:tcBorders>
              <w:top w:val="single" w:sz="4" w:space="0" w:color="auto"/>
              <w:left w:val="nil"/>
              <w:bottom w:val="single" w:sz="4" w:space="0" w:color="auto"/>
              <w:right w:val="single" w:sz="4" w:space="0" w:color="auto"/>
            </w:tcBorders>
            <w:shd w:val="clear" w:color="000000" w:fill="E7E6E6"/>
            <w:noWrap/>
            <w:vAlign w:val="bottom"/>
            <w:hideMark/>
          </w:tcPr>
          <w:p w14:paraId="183BFFBE"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55 744</w:t>
            </w:r>
          </w:p>
        </w:tc>
        <w:tc>
          <w:tcPr>
            <w:tcW w:w="1100" w:type="dxa"/>
            <w:tcBorders>
              <w:top w:val="single" w:sz="4" w:space="0" w:color="auto"/>
              <w:left w:val="nil"/>
              <w:bottom w:val="single" w:sz="4" w:space="0" w:color="auto"/>
              <w:right w:val="single" w:sz="4" w:space="0" w:color="auto"/>
            </w:tcBorders>
            <w:shd w:val="clear" w:color="000000" w:fill="E7E6E6"/>
            <w:noWrap/>
            <w:vAlign w:val="bottom"/>
            <w:hideMark/>
          </w:tcPr>
          <w:p w14:paraId="50CEE59A"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-6 560</w:t>
            </w:r>
          </w:p>
        </w:tc>
        <w:tc>
          <w:tcPr>
            <w:tcW w:w="1160" w:type="dxa"/>
            <w:tcBorders>
              <w:top w:val="single" w:sz="4" w:space="0" w:color="auto"/>
              <w:left w:val="nil"/>
              <w:bottom w:val="single" w:sz="4" w:space="0" w:color="auto"/>
              <w:right w:val="single" w:sz="4" w:space="0" w:color="auto"/>
            </w:tcBorders>
            <w:shd w:val="clear" w:color="000000" w:fill="E7E6E6"/>
            <w:noWrap/>
            <w:vAlign w:val="bottom"/>
            <w:hideMark/>
          </w:tcPr>
          <w:p w14:paraId="2C4B2D06" w14:textId="77777777" w:rsidR="008B1C42" w:rsidRPr="008B1C42" w:rsidRDefault="008B1C42" w:rsidP="008B1C42">
            <w:pPr>
              <w:jc w:val="right"/>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12 %</w:t>
            </w:r>
          </w:p>
        </w:tc>
      </w:tr>
      <w:tr w:rsidR="008B1C42" w:rsidRPr="008B1C42" w14:paraId="75BC1248" w14:textId="77777777" w:rsidTr="008B1C42">
        <w:trPr>
          <w:trHeight w:val="495"/>
        </w:trPr>
        <w:tc>
          <w:tcPr>
            <w:tcW w:w="3320" w:type="dxa"/>
            <w:tcBorders>
              <w:top w:val="nil"/>
              <w:left w:val="single" w:sz="4" w:space="0" w:color="auto"/>
              <w:bottom w:val="nil"/>
              <w:right w:val="single" w:sz="4" w:space="0" w:color="auto"/>
            </w:tcBorders>
            <w:shd w:val="clear" w:color="auto" w:fill="auto"/>
            <w:vAlign w:val="bottom"/>
            <w:hideMark/>
          </w:tcPr>
          <w:p w14:paraId="4FC3B4EA"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Nettobidrag fra ekstern finansierte prosjekter</w:t>
            </w:r>
          </w:p>
        </w:tc>
        <w:tc>
          <w:tcPr>
            <w:tcW w:w="1480" w:type="dxa"/>
            <w:tcBorders>
              <w:top w:val="nil"/>
              <w:left w:val="nil"/>
              <w:bottom w:val="nil"/>
              <w:right w:val="single" w:sz="4" w:space="0" w:color="auto"/>
            </w:tcBorders>
            <w:shd w:val="clear" w:color="auto" w:fill="auto"/>
            <w:noWrap/>
            <w:vAlign w:val="center"/>
            <w:hideMark/>
          </w:tcPr>
          <w:p w14:paraId="2200640E"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-43 289</w:t>
            </w:r>
          </w:p>
        </w:tc>
        <w:tc>
          <w:tcPr>
            <w:tcW w:w="1600" w:type="dxa"/>
            <w:tcBorders>
              <w:top w:val="nil"/>
              <w:left w:val="nil"/>
              <w:bottom w:val="nil"/>
              <w:right w:val="single" w:sz="4" w:space="0" w:color="auto"/>
            </w:tcBorders>
            <w:shd w:val="clear" w:color="auto" w:fill="auto"/>
            <w:noWrap/>
            <w:vAlign w:val="center"/>
            <w:hideMark/>
          </w:tcPr>
          <w:p w14:paraId="040B27E9"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-43 289</w:t>
            </w:r>
          </w:p>
        </w:tc>
        <w:tc>
          <w:tcPr>
            <w:tcW w:w="1100" w:type="dxa"/>
            <w:tcBorders>
              <w:top w:val="nil"/>
              <w:left w:val="nil"/>
              <w:bottom w:val="nil"/>
              <w:right w:val="nil"/>
            </w:tcBorders>
            <w:shd w:val="clear" w:color="auto" w:fill="auto"/>
            <w:noWrap/>
            <w:vAlign w:val="center"/>
            <w:hideMark/>
          </w:tcPr>
          <w:p w14:paraId="3B06B950"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0</w:t>
            </w:r>
          </w:p>
        </w:tc>
        <w:tc>
          <w:tcPr>
            <w:tcW w:w="1160" w:type="dxa"/>
            <w:tcBorders>
              <w:top w:val="nil"/>
              <w:left w:val="single" w:sz="4" w:space="0" w:color="auto"/>
              <w:bottom w:val="nil"/>
              <w:right w:val="single" w:sz="4" w:space="0" w:color="auto"/>
            </w:tcBorders>
            <w:shd w:val="clear" w:color="auto" w:fill="auto"/>
            <w:noWrap/>
            <w:vAlign w:val="center"/>
            <w:hideMark/>
          </w:tcPr>
          <w:p w14:paraId="0BFFF73A"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0 %</w:t>
            </w:r>
          </w:p>
        </w:tc>
      </w:tr>
      <w:tr w:rsidR="008B1C42" w:rsidRPr="008B1C42" w14:paraId="65D7D8F2"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4B16466C"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Prosjektavslutning</w:t>
            </w:r>
          </w:p>
        </w:tc>
        <w:tc>
          <w:tcPr>
            <w:tcW w:w="1480" w:type="dxa"/>
            <w:tcBorders>
              <w:top w:val="nil"/>
              <w:left w:val="nil"/>
              <w:bottom w:val="nil"/>
              <w:right w:val="single" w:sz="4" w:space="0" w:color="auto"/>
            </w:tcBorders>
            <w:shd w:val="clear" w:color="auto" w:fill="auto"/>
            <w:noWrap/>
            <w:vAlign w:val="center"/>
            <w:hideMark/>
          </w:tcPr>
          <w:p w14:paraId="30987739"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-2 495</w:t>
            </w:r>
          </w:p>
        </w:tc>
        <w:tc>
          <w:tcPr>
            <w:tcW w:w="1600" w:type="dxa"/>
            <w:tcBorders>
              <w:top w:val="nil"/>
              <w:left w:val="nil"/>
              <w:bottom w:val="nil"/>
              <w:right w:val="single" w:sz="4" w:space="0" w:color="auto"/>
            </w:tcBorders>
            <w:shd w:val="clear" w:color="auto" w:fill="auto"/>
            <w:noWrap/>
            <w:vAlign w:val="center"/>
            <w:hideMark/>
          </w:tcPr>
          <w:p w14:paraId="6422A550"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-2 495</w:t>
            </w:r>
          </w:p>
        </w:tc>
        <w:tc>
          <w:tcPr>
            <w:tcW w:w="1100" w:type="dxa"/>
            <w:tcBorders>
              <w:top w:val="nil"/>
              <w:left w:val="nil"/>
              <w:bottom w:val="nil"/>
              <w:right w:val="nil"/>
            </w:tcBorders>
            <w:shd w:val="clear" w:color="auto" w:fill="auto"/>
            <w:noWrap/>
            <w:vAlign w:val="center"/>
            <w:hideMark/>
          </w:tcPr>
          <w:p w14:paraId="202CE593"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0</w:t>
            </w:r>
          </w:p>
        </w:tc>
        <w:tc>
          <w:tcPr>
            <w:tcW w:w="1160" w:type="dxa"/>
            <w:tcBorders>
              <w:top w:val="nil"/>
              <w:left w:val="single" w:sz="4" w:space="0" w:color="auto"/>
              <w:bottom w:val="nil"/>
              <w:right w:val="single" w:sz="4" w:space="0" w:color="auto"/>
            </w:tcBorders>
            <w:shd w:val="clear" w:color="auto" w:fill="auto"/>
            <w:noWrap/>
            <w:vAlign w:val="center"/>
            <w:hideMark/>
          </w:tcPr>
          <w:p w14:paraId="75700760"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0 %</w:t>
            </w:r>
          </w:p>
        </w:tc>
      </w:tr>
      <w:tr w:rsidR="008B1C42" w:rsidRPr="008B1C42" w14:paraId="634DDF4A"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24AAAB7C"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Overforbruk fra BOA</w:t>
            </w:r>
          </w:p>
        </w:tc>
        <w:tc>
          <w:tcPr>
            <w:tcW w:w="1480" w:type="dxa"/>
            <w:tcBorders>
              <w:top w:val="nil"/>
              <w:left w:val="nil"/>
              <w:bottom w:val="nil"/>
              <w:right w:val="single" w:sz="4" w:space="0" w:color="auto"/>
            </w:tcBorders>
            <w:shd w:val="clear" w:color="auto" w:fill="auto"/>
            <w:noWrap/>
            <w:vAlign w:val="center"/>
            <w:hideMark/>
          </w:tcPr>
          <w:p w14:paraId="42817948"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0</w:t>
            </w:r>
          </w:p>
        </w:tc>
        <w:tc>
          <w:tcPr>
            <w:tcW w:w="1600" w:type="dxa"/>
            <w:tcBorders>
              <w:top w:val="nil"/>
              <w:left w:val="nil"/>
              <w:bottom w:val="nil"/>
              <w:right w:val="single" w:sz="4" w:space="0" w:color="auto"/>
            </w:tcBorders>
            <w:shd w:val="clear" w:color="auto" w:fill="auto"/>
            <w:noWrap/>
            <w:vAlign w:val="center"/>
            <w:hideMark/>
          </w:tcPr>
          <w:p w14:paraId="7C1692B3"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0</w:t>
            </w:r>
          </w:p>
        </w:tc>
        <w:tc>
          <w:tcPr>
            <w:tcW w:w="1100" w:type="dxa"/>
            <w:tcBorders>
              <w:top w:val="nil"/>
              <w:left w:val="nil"/>
              <w:bottom w:val="nil"/>
              <w:right w:val="nil"/>
            </w:tcBorders>
            <w:shd w:val="clear" w:color="auto" w:fill="auto"/>
            <w:noWrap/>
            <w:vAlign w:val="center"/>
            <w:hideMark/>
          </w:tcPr>
          <w:p w14:paraId="0906CB2D"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0</w:t>
            </w:r>
          </w:p>
        </w:tc>
        <w:tc>
          <w:tcPr>
            <w:tcW w:w="1160" w:type="dxa"/>
            <w:tcBorders>
              <w:top w:val="nil"/>
              <w:left w:val="single" w:sz="4" w:space="0" w:color="auto"/>
              <w:bottom w:val="nil"/>
              <w:right w:val="single" w:sz="4" w:space="0" w:color="auto"/>
            </w:tcBorders>
            <w:shd w:val="clear" w:color="auto" w:fill="auto"/>
            <w:noWrap/>
            <w:vAlign w:val="center"/>
            <w:hideMark/>
          </w:tcPr>
          <w:p w14:paraId="64AD316C" w14:textId="77777777" w:rsidR="008B1C42" w:rsidRPr="008B1C42" w:rsidRDefault="008B1C42" w:rsidP="008B1C42">
            <w:pPr>
              <w:jc w:val="cente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#DIV/0!</w:t>
            </w:r>
          </w:p>
        </w:tc>
      </w:tr>
      <w:tr w:rsidR="008B1C42" w:rsidRPr="008B1C42" w14:paraId="1B33BE91" w14:textId="77777777" w:rsidTr="008B1C42">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D7BF8AB" w14:textId="77777777" w:rsidR="008B1C42" w:rsidRPr="008B1C42" w:rsidRDefault="008B1C42" w:rsidP="008B1C42">
            <w:pP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Isolert mer-/</w:t>
            </w:r>
            <w:proofErr w:type="spellStart"/>
            <w:r w:rsidRPr="008B1C42">
              <w:rPr>
                <w:rFonts w:ascii="Arial" w:eastAsia="Times New Roman" w:hAnsi="Arial" w:cs="Arial"/>
                <w:b/>
                <w:bCs/>
                <w:color w:val="000000"/>
                <w:sz w:val="18"/>
                <w:szCs w:val="18"/>
                <w:lang w:eastAsia="nb-NO"/>
              </w:rPr>
              <w:t>mindreforbruk</w:t>
            </w:r>
            <w:proofErr w:type="spellEnd"/>
            <w:r w:rsidRPr="008B1C42">
              <w:rPr>
                <w:rFonts w:ascii="Arial" w:eastAsia="Times New Roman" w:hAnsi="Arial" w:cs="Arial"/>
                <w:b/>
                <w:bCs/>
                <w:color w:val="000000"/>
                <w:sz w:val="18"/>
                <w:szCs w:val="18"/>
                <w:lang w:eastAsia="nb-NO"/>
              </w:rPr>
              <w:t xml:space="preserve"> </w:t>
            </w:r>
          </w:p>
        </w:tc>
        <w:tc>
          <w:tcPr>
            <w:tcW w:w="1480" w:type="dxa"/>
            <w:tcBorders>
              <w:top w:val="single" w:sz="4" w:space="0" w:color="auto"/>
              <w:left w:val="nil"/>
              <w:bottom w:val="single" w:sz="4" w:space="0" w:color="auto"/>
              <w:right w:val="single" w:sz="4" w:space="0" w:color="auto"/>
            </w:tcBorders>
            <w:shd w:val="clear" w:color="000000" w:fill="E7E6E6"/>
            <w:noWrap/>
            <w:vAlign w:val="bottom"/>
            <w:hideMark/>
          </w:tcPr>
          <w:p w14:paraId="57FF8958" w14:textId="77777777" w:rsidR="008B1C42" w:rsidRPr="008B1C42" w:rsidRDefault="008B1C42" w:rsidP="008B1C42">
            <w:pPr>
              <w:jc w:val="right"/>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3 400</w:t>
            </w:r>
          </w:p>
        </w:tc>
        <w:tc>
          <w:tcPr>
            <w:tcW w:w="1600" w:type="dxa"/>
            <w:tcBorders>
              <w:top w:val="single" w:sz="4" w:space="0" w:color="auto"/>
              <w:left w:val="nil"/>
              <w:bottom w:val="single" w:sz="4" w:space="0" w:color="auto"/>
              <w:right w:val="single" w:sz="4" w:space="0" w:color="auto"/>
            </w:tcBorders>
            <w:shd w:val="clear" w:color="000000" w:fill="E7E6E6"/>
            <w:noWrap/>
            <w:vAlign w:val="bottom"/>
            <w:hideMark/>
          </w:tcPr>
          <w:p w14:paraId="0144CAEA"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9 960</w:t>
            </w:r>
          </w:p>
        </w:tc>
        <w:tc>
          <w:tcPr>
            <w:tcW w:w="1100" w:type="dxa"/>
            <w:tcBorders>
              <w:top w:val="single" w:sz="4" w:space="0" w:color="auto"/>
              <w:left w:val="nil"/>
              <w:bottom w:val="single" w:sz="4" w:space="0" w:color="auto"/>
              <w:right w:val="single" w:sz="4" w:space="0" w:color="auto"/>
            </w:tcBorders>
            <w:shd w:val="clear" w:color="000000" w:fill="E7E6E6"/>
            <w:noWrap/>
            <w:vAlign w:val="bottom"/>
            <w:hideMark/>
          </w:tcPr>
          <w:p w14:paraId="47293399"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-6 560</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12AD3E17"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66 %</w:t>
            </w:r>
          </w:p>
        </w:tc>
      </w:tr>
      <w:tr w:rsidR="008B1C42" w:rsidRPr="008B1C42" w14:paraId="036886AA" w14:textId="77777777" w:rsidTr="008B1C42">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2B227BB9"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Overført fra i fjor</w:t>
            </w:r>
          </w:p>
        </w:tc>
        <w:tc>
          <w:tcPr>
            <w:tcW w:w="1480" w:type="dxa"/>
            <w:tcBorders>
              <w:top w:val="nil"/>
              <w:left w:val="nil"/>
              <w:bottom w:val="nil"/>
              <w:right w:val="single" w:sz="4" w:space="0" w:color="auto"/>
            </w:tcBorders>
            <w:shd w:val="clear" w:color="auto" w:fill="auto"/>
            <w:noWrap/>
            <w:vAlign w:val="center"/>
            <w:hideMark/>
          </w:tcPr>
          <w:p w14:paraId="64F120C7" w14:textId="77777777" w:rsidR="008B1C42" w:rsidRPr="008B1C42" w:rsidRDefault="008B1C42" w:rsidP="008B1C42">
            <w:pPr>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 </w:t>
            </w:r>
          </w:p>
        </w:tc>
        <w:tc>
          <w:tcPr>
            <w:tcW w:w="1600" w:type="dxa"/>
            <w:tcBorders>
              <w:top w:val="nil"/>
              <w:left w:val="nil"/>
              <w:bottom w:val="nil"/>
              <w:right w:val="single" w:sz="4" w:space="0" w:color="auto"/>
            </w:tcBorders>
            <w:shd w:val="clear" w:color="auto" w:fill="auto"/>
            <w:noWrap/>
            <w:vAlign w:val="center"/>
            <w:hideMark/>
          </w:tcPr>
          <w:p w14:paraId="11835174" w14:textId="77777777" w:rsidR="008B1C42" w:rsidRPr="008B1C42" w:rsidRDefault="008B1C42" w:rsidP="008B1C42">
            <w:pPr>
              <w:jc w:val="right"/>
              <w:rPr>
                <w:rFonts w:ascii="Arial" w:eastAsia="Times New Roman" w:hAnsi="Arial" w:cs="Arial"/>
                <w:sz w:val="18"/>
                <w:szCs w:val="18"/>
                <w:lang w:eastAsia="nb-NO"/>
              </w:rPr>
            </w:pPr>
            <w:r w:rsidRPr="008B1C42">
              <w:rPr>
                <w:rFonts w:ascii="Arial" w:eastAsia="Times New Roman" w:hAnsi="Arial" w:cs="Arial"/>
                <w:sz w:val="18"/>
                <w:szCs w:val="18"/>
                <w:lang w:eastAsia="nb-NO"/>
              </w:rPr>
              <w:t>-102</w:t>
            </w:r>
          </w:p>
        </w:tc>
        <w:tc>
          <w:tcPr>
            <w:tcW w:w="1100" w:type="dxa"/>
            <w:tcBorders>
              <w:top w:val="nil"/>
              <w:left w:val="nil"/>
              <w:bottom w:val="nil"/>
              <w:right w:val="nil"/>
            </w:tcBorders>
            <w:shd w:val="clear" w:color="auto" w:fill="auto"/>
            <w:noWrap/>
            <w:vAlign w:val="center"/>
            <w:hideMark/>
          </w:tcPr>
          <w:p w14:paraId="75D89CD7" w14:textId="77777777" w:rsidR="008B1C42" w:rsidRPr="008B1C42" w:rsidRDefault="008B1C42" w:rsidP="008B1C42">
            <w:pPr>
              <w:jc w:val="right"/>
              <w:rPr>
                <w:rFonts w:ascii="Arial" w:eastAsia="Times New Roman" w:hAnsi="Arial" w:cs="Arial"/>
                <w:sz w:val="18"/>
                <w:szCs w:val="18"/>
                <w:lang w:eastAsia="nb-NO"/>
              </w:rPr>
            </w:pPr>
          </w:p>
        </w:tc>
        <w:tc>
          <w:tcPr>
            <w:tcW w:w="1160" w:type="dxa"/>
            <w:tcBorders>
              <w:top w:val="nil"/>
              <w:left w:val="single" w:sz="4" w:space="0" w:color="auto"/>
              <w:bottom w:val="nil"/>
              <w:right w:val="single" w:sz="4" w:space="0" w:color="auto"/>
            </w:tcBorders>
            <w:shd w:val="clear" w:color="auto" w:fill="auto"/>
            <w:noWrap/>
            <w:vAlign w:val="center"/>
            <w:hideMark/>
          </w:tcPr>
          <w:p w14:paraId="1205CBCF"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100 %</w:t>
            </w:r>
          </w:p>
        </w:tc>
      </w:tr>
      <w:tr w:rsidR="008B1C42" w:rsidRPr="008B1C42" w14:paraId="135A6709" w14:textId="77777777" w:rsidTr="008B1C42">
        <w:trPr>
          <w:trHeight w:val="300"/>
        </w:trPr>
        <w:tc>
          <w:tcPr>
            <w:tcW w:w="3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C02DFA7" w14:textId="77777777" w:rsidR="008B1C42" w:rsidRPr="008B1C42" w:rsidRDefault="008B1C42" w:rsidP="008B1C42">
            <w:pPr>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 xml:space="preserve">Sum akkumulert resultat </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14:paraId="754AF6D6" w14:textId="77777777" w:rsidR="008B1C42" w:rsidRPr="008B1C42" w:rsidRDefault="008B1C42" w:rsidP="008B1C42">
            <w:pPr>
              <w:jc w:val="right"/>
              <w:rPr>
                <w:rFonts w:ascii="Arial" w:eastAsia="Times New Roman" w:hAnsi="Arial" w:cs="Arial"/>
                <w:b/>
                <w:bCs/>
                <w:color w:val="000000"/>
                <w:sz w:val="18"/>
                <w:szCs w:val="18"/>
                <w:lang w:eastAsia="nb-NO"/>
              </w:rPr>
            </w:pPr>
            <w:r w:rsidRPr="008B1C42">
              <w:rPr>
                <w:rFonts w:ascii="Arial" w:eastAsia="Times New Roman" w:hAnsi="Arial" w:cs="Arial"/>
                <w:b/>
                <w:bCs/>
                <w:color w:val="000000"/>
                <w:sz w:val="18"/>
                <w:szCs w:val="18"/>
                <w:lang w:eastAsia="nb-NO"/>
              </w:rPr>
              <w:t>3 400</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57EC6288"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9 858</w:t>
            </w:r>
          </w:p>
        </w:tc>
        <w:tc>
          <w:tcPr>
            <w:tcW w:w="1100" w:type="dxa"/>
            <w:tcBorders>
              <w:top w:val="single" w:sz="4" w:space="0" w:color="auto"/>
              <w:left w:val="nil"/>
              <w:bottom w:val="single" w:sz="4" w:space="0" w:color="auto"/>
              <w:right w:val="single" w:sz="4" w:space="0" w:color="auto"/>
            </w:tcBorders>
            <w:shd w:val="clear" w:color="000000" w:fill="FFFF00"/>
            <w:noWrap/>
            <w:vAlign w:val="bottom"/>
            <w:hideMark/>
          </w:tcPr>
          <w:p w14:paraId="228CDFBD" w14:textId="77777777" w:rsidR="008B1C42" w:rsidRPr="008B1C42" w:rsidRDefault="008B1C42" w:rsidP="008B1C42">
            <w:pPr>
              <w:jc w:val="right"/>
              <w:rPr>
                <w:rFonts w:ascii="Arial" w:eastAsia="Times New Roman" w:hAnsi="Arial" w:cs="Arial"/>
                <w:b/>
                <w:bCs/>
                <w:sz w:val="18"/>
                <w:szCs w:val="18"/>
                <w:lang w:eastAsia="nb-NO"/>
              </w:rPr>
            </w:pPr>
            <w:r w:rsidRPr="008B1C42">
              <w:rPr>
                <w:rFonts w:ascii="Arial" w:eastAsia="Times New Roman" w:hAnsi="Arial" w:cs="Arial"/>
                <w:b/>
                <w:bCs/>
                <w:sz w:val="18"/>
                <w:szCs w:val="18"/>
                <w:lang w:eastAsia="nb-NO"/>
              </w:rPr>
              <w:t>-6 560</w:t>
            </w:r>
          </w:p>
        </w:tc>
        <w:tc>
          <w:tcPr>
            <w:tcW w:w="1160" w:type="dxa"/>
            <w:tcBorders>
              <w:top w:val="single" w:sz="4" w:space="0" w:color="auto"/>
              <w:left w:val="nil"/>
              <w:bottom w:val="single" w:sz="4" w:space="0" w:color="auto"/>
              <w:right w:val="single" w:sz="4" w:space="0" w:color="auto"/>
            </w:tcBorders>
            <w:shd w:val="clear" w:color="000000" w:fill="FFFF00"/>
            <w:noWrap/>
            <w:vAlign w:val="center"/>
            <w:hideMark/>
          </w:tcPr>
          <w:p w14:paraId="11701175" w14:textId="77777777" w:rsidR="008B1C42" w:rsidRPr="008B1C42" w:rsidRDefault="008B1C42" w:rsidP="008B1C42">
            <w:pPr>
              <w:jc w:val="right"/>
              <w:rPr>
                <w:rFonts w:ascii="Arial" w:eastAsia="Times New Roman" w:hAnsi="Arial" w:cs="Arial"/>
                <w:color w:val="000000"/>
                <w:sz w:val="18"/>
                <w:szCs w:val="18"/>
                <w:lang w:eastAsia="nb-NO"/>
              </w:rPr>
            </w:pPr>
            <w:r w:rsidRPr="008B1C42">
              <w:rPr>
                <w:rFonts w:ascii="Arial" w:eastAsia="Times New Roman" w:hAnsi="Arial" w:cs="Arial"/>
                <w:color w:val="000000"/>
                <w:sz w:val="18"/>
                <w:szCs w:val="18"/>
                <w:lang w:eastAsia="nb-NO"/>
              </w:rPr>
              <w:t>66 %</w:t>
            </w:r>
          </w:p>
        </w:tc>
      </w:tr>
    </w:tbl>
    <w:p w14:paraId="417A20C8" w14:textId="69343485" w:rsidR="00C71178" w:rsidRDefault="008B1C42" w:rsidP="008B1C42">
      <w:pPr>
        <w:rPr>
          <w:b/>
          <w:bCs/>
          <w:color w:val="365F91" w:themeColor="accent1" w:themeShade="BF"/>
        </w:rPr>
      </w:pPr>
      <w:r>
        <w:lastRenderedPageBreak/>
        <w:t xml:space="preserve">Som forklart over så er prognosen for inneværende år primært preget av effekten av kutt i inntekter som følge av ekstra energikostnader ved UiO og flyttingen av Senter for global helse. Flyttingen av Senter for global helse innebærer også en reduksjon i forventede driftskostnader. For personalkostnadene så er innsparingen med flytting av Senter for global helse motvirket gjennom økte kostnader knyttet til bruk av vikarer inn mot undervisningen. </w:t>
      </w:r>
    </w:p>
    <w:p w14:paraId="4668EECD" w14:textId="77777777" w:rsidR="00C71178" w:rsidRDefault="00C71178" w:rsidP="00CF2294">
      <w:pPr>
        <w:pStyle w:val="Georgia11spacing10after"/>
        <w:spacing w:after="0"/>
        <w:rPr>
          <w:b/>
          <w:bCs/>
          <w:color w:val="365F91" w:themeColor="accent1" w:themeShade="BF"/>
          <w:szCs w:val="24"/>
          <w:lang w:val="nb-NO"/>
        </w:rPr>
      </w:pPr>
    </w:p>
    <w:p w14:paraId="3913B6B7" w14:textId="5A57B33B" w:rsidR="001178CE" w:rsidRPr="00E63A77" w:rsidRDefault="001178CE" w:rsidP="00CF2294">
      <w:pPr>
        <w:pStyle w:val="Georgia11spacing10after"/>
        <w:spacing w:after="0"/>
        <w:rPr>
          <w:color w:val="365F91" w:themeColor="accent1" w:themeShade="BF"/>
          <w:sz w:val="20"/>
          <w:lang w:val="nb-NO"/>
        </w:rPr>
      </w:pPr>
      <w:r>
        <w:rPr>
          <w:b/>
          <w:bCs/>
          <w:color w:val="365F91" w:themeColor="accent1" w:themeShade="BF"/>
          <w:szCs w:val="24"/>
          <w:lang w:val="nb-NO"/>
        </w:rPr>
        <w:t>Eksternt finansiert virksomhet (BOA)</w:t>
      </w:r>
    </w:p>
    <w:p w14:paraId="3E0E0CF1" w14:textId="5A6A8FA9" w:rsidR="00A8526E" w:rsidRDefault="00A8526E" w:rsidP="00A8526E">
      <w:pPr>
        <w:rPr>
          <w:rFonts w:ascii="Georgia" w:hAnsi="Georgia"/>
          <w:b/>
          <w:sz w:val="20"/>
          <w:szCs w:val="20"/>
        </w:rPr>
      </w:pPr>
    </w:p>
    <w:p w14:paraId="0C1A9758" w14:textId="513A34EE" w:rsidR="00DF2D29" w:rsidRDefault="008B1C42" w:rsidP="00A8526E">
      <w:pPr>
        <w:rPr>
          <w:rFonts w:ascii="Georgia" w:hAnsi="Georgia"/>
          <w:b/>
          <w:sz w:val="20"/>
          <w:szCs w:val="20"/>
        </w:rPr>
      </w:pPr>
      <w:r w:rsidRPr="008B1C42">
        <w:rPr>
          <w:noProof/>
        </w:rPr>
        <w:drawing>
          <wp:inline distT="0" distB="0" distL="0" distR="0" wp14:anchorId="523536C9" wp14:editId="58667C4B">
            <wp:extent cx="5731510" cy="20402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40255"/>
                    </a:xfrm>
                    <a:prstGeom prst="rect">
                      <a:avLst/>
                    </a:prstGeom>
                    <a:noFill/>
                    <a:ln>
                      <a:noFill/>
                    </a:ln>
                  </pic:spPr>
                </pic:pic>
              </a:graphicData>
            </a:graphic>
          </wp:inline>
        </w:drawing>
      </w:r>
    </w:p>
    <w:p w14:paraId="1528BD62" w14:textId="6EBB3883" w:rsidR="00DF2D29" w:rsidRDefault="00DF2D29" w:rsidP="008B1C42"/>
    <w:p w14:paraId="1F73EFAE" w14:textId="77777777" w:rsidR="008B1C42" w:rsidRDefault="008B1C42" w:rsidP="00A8526E">
      <w:pPr>
        <w:rPr>
          <w:rFonts w:ascii="Georgia" w:hAnsi="Georgia"/>
          <w:b/>
          <w:sz w:val="20"/>
          <w:szCs w:val="20"/>
        </w:rPr>
      </w:pPr>
    </w:p>
    <w:p w14:paraId="0BAF3320" w14:textId="1C19FE02" w:rsidR="0022748F" w:rsidRPr="0022748F" w:rsidRDefault="0022748F" w:rsidP="0022748F">
      <w:pPr>
        <w:pStyle w:val="Georgia11spacing10after"/>
        <w:spacing w:after="0"/>
        <w:rPr>
          <w:rFonts w:asciiTheme="majorHAnsi" w:hAnsiTheme="majorHAnsi" w:cstheme="majorHAnsi"/>
          <w:bCs/>
          <w:lang w:val="nb-NO"/>
        </w:rPr>
      </w:pPr>
      <w:r w:rsidRPr="0022748F">
        <w:rPr>
          <w:rFonts w:asciiTheme="majorHAnsi" w:hAnsiTheme="majorHAnsi" w:cstheme="majorHAnsi"/>
          <w:bCs/>
          <w:lang w:val="nb-NO"/>
        </w:rPr>
        <w:t>Tabell 6: Årsverksutvikling ekstern finansiert virksomhet</w:t>
      </w:r>
    </w:p>
    <w:p w14:paraId="31047E2A" w14:textId="77777777" w:rsidR="0022748F" w:rsidRDefault="0022748F" w:rsidP="0022748F">
      <w:pPr>
        <w:pStyle w:val="Georgia11spacing10after"/>
        <w:spacing w:after="0"/>
        <w:rPr>
          <w:rFonts w:asciiTheme="majorHAnsi" w:hAnsiTheme="majorHAnsi" w:cstheme="majorHAnsi"/>
          <w:bCs/>
          <w:lang w:val="nb-NO"/>
        </w:rPr>
      </w:pPr>
      <w:r>
        <w:rPr>
          <w:rFonts w:asciiTheme="majorHAnsi" w:hAnsiTheme="majorHAnsi" w:cstheme="majorHAnsi"/>
          <w:bCs/>
          <w:lang w:val="nb-NO"/>
        </w:rPr>
        <w:t>(lim inn tabell)</w:t>
      </w:r>
    </w:p>
    <w:p w14:paraId="3B3C8A47" w14:textId="1468E794" w:rsidR="00DF2D29" w:rsidRDefault="00DF2D29" w:rsidP="00A8526E">
      <w:pPr>
        <w:rPr>
          <w:rFonts w:ascii="Georgia" w:hAnsi="Georgia"/>
          <w:b/>
          <w:sz w:val="20"/>
          <w:szCs w:val="20"/>
        </w:rPr>
      </w:pPr>
    </w:p>
    <w:p w14:paraId="35BD8B4E" w14:textId="77777777" w:rsidR="0022748F" w:rsidRDefault="0022748F" w:rsidP="0022748F">
      <w:pPr>
        <w:pStyle w:val="Georgia11spacing10after"/>
        <w:spacing w:after="0"/>
        <w:rPr>
          <w:rFonts w:asciiTheme="majorHAnsi" w:hAnsiTheme="majorHAnsi" w:cstheme="majorHAnsi"/>
          <w:bCs/>
          <w:lang w:val="nb-NO"/>
        </w:rPr>
      </w:pPr>
    </w:p>
    <w:p w14:paraId="1788D5D6" w14:textId="773B3718" w:rsidR="0022748F" w:rsidRPr="0022748F" w:rsidRDefault="0022748F" w:rsidP="0022748F">
      <w:pPr>
        <w:pStyle w:val="Georgia11spacing10after"/>
        <w:spacing w:after="0"/>
        <w:rPr>
          <w:rFonts w:asciiTheme="majorHAnsi" w:hAnsiTheme="majorHAnsi" w:cstheme="majorHAnsi"/>
          <w:bCs/>
          <w:lang w:val="nb-NO"/>
        </w:rPr>
      </w:pPr>
      <w:r w:rsidRPr="0022748F">
        <w:rPr>
          <w:rFonts w:asciiTheme="majorHAnsi" w:hAnsiTheme="majorHAnsi" w:cstheme="majorHAnsi"/>
          <w:bCs/>
          <w:lang w:val="nb-NO"/>
        </w:rPr>
        <w:t>Tabell 7: Budsjett 2023 ekstern finansiert virksomhet – opprinnelig budsjett og justert budsjettramme (tall i 1000 kr)</w:t>
      </w:r>
    </w:p>
    <w:p w14:paraId="7EAD77E3" w14:textId="77777777" w:rsidR="0022748F" w:rsidRDefault="0022748F" w:rsidP="0022748F">
      <w:pPr>
        <w:pStyle w:val="Georgia11spacing10after"/>
        <w:spacing w:after="0"/>
        <w:rPr>
          <w:rFonts w:asciiTheme="majorHAnsi" w:hAnsiTheme="majorHAnsi" w:cstheme="majorHAnsi"/>
          <w:bCs/>
          <w:lang w:val="nb-NO"/>
        </w:rPr>
      </w:pPr>
      <w:r>
        <w:rPr>
          <w:rFonts w:asciiTheme="majorHAnsi" w:hAnsiTheme="majorHAnsi" w:cstheme="majorHAnsi"/>
          <w:bCs/>
          <w:lang w:val="nb-NO"/>
        </w:rPr>
        <w:t>(lim inn tabell)</w:t>
      </w:r>
    </w:p>
    <w:p w14:paraId="1ACB0E56" w14:textId="77777777" w:rsidR="00DF2D29" w:rsidRDefault="00DF2D29" w:rsidP="00A8526E">
      <w:pPr>
        <w:rPr>
          <w:rFonts w:ascii="Georgia" w:hAnsi="Georgia"/>
          <w:b/>
          <w:sz w:val="20"/>
          <w:szCs w:val="20"/>
        </w:rPr>
      </w:pPr>
    </w:p>
    <w:p w14:paraId="569DC23B" w14:textId="7D312AF8" w:rsidR="00AB68CD" w:rsidRDefault="00AB68CD" w:rsidP="00A8526E">
      <w:pPr>
        <w:rPr>
          <w:rFonts w:ascii="Georgia" w:hAnsi="Georgia"/>
          <w:b/>
          <w:sz w:val="20"/>
          <w:szCs w:val="20"/>
        </w:rPr>
      </w:pPr>
    </w:p>
    <w:p w14:paraId="624A6E9E" w14:textId="4AAB72D9" w:rsidR="00AB68CD" w:rsidRPr="00DF2D29" w:rsidRDefault="00DF2D29" w:rsidP="00DF2D29">
      <w:pPr>
        <w:pStyle w:val="Georgia11spacing10after"/>
        <w:spacing w:after="0"/>
        <w:rPr>
          <w:b/>
          <w:bCs/>
          <w:color w:val="365F91" w:themeColor="accent1" w:themeShade="BF"/>
          <w:szCs w:val="24"/>
          <w:lang w:val="nb-NO"/>
        </w:rPr>
      </w:pPr>
      <w:r w:rsidRPr="00DF2D29">
        <w:rPr>
          <w:b/>
          <w:bCs/>
          <w:color w:val="365F91" w:themeColor="accent1" w:themeShade="BF"/>
          <w:szCs w:val="24"/>
          <w:lang w:val="nb-NO"/>
        </w:rPr>
        <w:t>Resultatutvikling</w:t>
      </w:r>
      <w:r w:rsidR="00116EA5">
        <w:rPr>
          <w:b/>
          <w:bCs/>
          <w:color w:val="365F91" w:themeColor="accent1" w:themeShade="BF"/>
          <w:szCs w:val="24"/>
          <w:lang w:val="nb-NO"/>
        </w:rPr>
        <w:t xml:space="preserve"> 2018 -2022</w:t>
      </w:r>
    </w:p>
    <w:p w14:paraId="22480F4B" w14:textId="77777777" w:rsidR="00DF2D29" w:rsidRPr="005C308F" w:rsidRDefault="00DF2D29" w:rsidP="00A8526E">
      <w:pPr>
        <w:rPr>
          <w:rFonts w:ascii="Georgia" w:hAnsi="Georgia"/>
          <w:b/>
          <w:sz w:val="20"/>
          <w:szCs w:val="20"/>
        </w:rPr>
      </w:pPr>
    </w:p>
    <w:sectPr w:rsidR="00DF2D29" w:rsidRPr="005C308F">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91E" w14:textId="77777777" w:rsidR="007A5617" w:rsidRDefault="007A5617" w:rsidP="007A5617">
      <w:r>
        <w:separator/>
      </w:r>
    </w:p>
  </w:endnote>
  <w:endnote w:type="continuationSeparator" w:id="0">
    <w:p w14:paraId="238D0609" w14:textId="77777777"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esto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31456"/>
      <w:docPartObj>
        <w:docPartGallery w:val="Page Numbers (Bottom of Page)"/>
        <w:docPartUnique/>
      </w:docPartObj>
    </w:sdtPr>
    <w:sdtEndPr/>
    <w:sdtContent>
      <w:p w14:paraId="6E446C17" w14:textId="0AA50912" w:rsidR="00286C6D" w:rsidRDefault="00286C6D">
        <w:pPr>
          <w:pStyle w:val="Footer"/>
          <w:jc w:val="center"/>
        </w:pPr>
        <w:r>
          <w:fldChar w:fldCharType="begin"/>
        </w:r>
        <w:r>
          <w:instrText>PAGE   \* MERGEFORMAT</w:instrText>
        </w:r>
        <w:r>
          <w:fldChar w:fldCharType="separate"/>
        </w:r>
        <w:r w:rsidR="00255CF8">
          <w:rPr>
            <w:noProof/>
          </w:rPr>
          <w:t>1</w:t>
        </w:r>
        <w:r>
          <w:fldChar w:fldCharType="end"/>
        </w:r>
      </w:p>
    </w:sdtContent>
  </w:sdt>
  <w:p w14:paraId="51F39CCD" w14:textId="77777777"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3546"/>
      <w:docPartObj>
        <w:docPartGallery w:val="Page Numbers (Bottom of Page)"/>
        <w:docPartUnique/>
      </w:docPartObj>
    </w:sdtPr>
    <w:sdtEndPr>
      <w:rPr>
        <w:noProof/>
      </w:rPr>
    </w:sdtEndPr>
    <w:sdtContent>
      <w:p w14:paraId="068EE5CF" w14:textId="77777777"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3312F01F" w14:textId="77777777"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F87" w14:textId="77777777" w:rsidR="007A5617" w:rsidRDefault="007A5617" w:rsidP="007A5617">
      <w:r>
        <w:separator/>
      </w:r>
    </w:p>
  </w:footnote>
  <w:footnote w:type="continuationSeparator" w:id="0">
    <w:p w14:paraId="39BCDCAD" w14:textId="77777777" w:rsidR="007A5617" w:rsidRDefault="007A5617" w:rsidP="007A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0191" w14:textId="77777777" w:rsidR="00244923" w:rsidRPr="007E7FF4" w:rsidRDefault="00307EED" w:rsidP="00244923">
    <w:pPr>
      <w:pStyle w:val="Header"/>
      <w:tabs>
        <w:tab w:val="clear" w:pos="8306"/>
        <w:tab w:val="left" w:pos="6534"/>
      </w:tabs>
      <w:ind w:right="120"/>
      <w:jc w:val="right"/>
      <w:rPr>
        <w:rFonts w:asciiTheme="majorHAnsi" w:eastAsia="MS Gothic" w:hAnsiTheme="majorHAnsi"/>
        <w:sz w:val="18"/>
        <w:szCs w:val="36"/>
      </w:rPr>
    </w:pPr>
    <w:r w:rsidRPr="007E7FF4">
      <w:rPr>
        <w:rFonts w:cs="Arial"/>
        <w:noProof/>
        <w:sz w:val="18"/>
        <w:lang w:eastAsia="nb-NO"/>
      </w:rPr>
      <w:drawing>
        <wp:anchor distT="0" distB="0" distL="114300" distR="114300" simplePos="0" relativeHeight="251659264" behindDoc="1" locked="1" layoutInCell="1" allowOverlap="1" wp14:anchorId="6D54E57D" wp14:editId="6CF4E98A">
          <wp:simplePos x="0" y="0"/>
          <wp:positionH relativeFrom="page">
            <wp:posOffset>934085</wp:posOffset>
          </wp:positionH>
          <wp:positionV relativeFrom="page">
            <wp:posOffset>480060</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18B">
      <w:rPr>
        <w:rFonts w:asciiTheme="majorHAnsi" w:eastAsia="MS Gothic" w:hAnsiTheme="majorHAnsi"/>
        <w:sz w:val="18"/>
        <w:szCs w:val="36"/>
      </w:rPr>
      <w:t>Økonomirapport</w:t>
    </w:r>
  </w:p>
  <w:p w14:paraId="1274D199" w14:textId="77777777"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A6BCD"/>
    <w:multiLevelType w:val="hybridMultilevel"/>
    <w:tmpl w:val="308E426A"/>
    <w:lvl w:ilvl="0" w:tplc="EE4C7A2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320758"/>
    <w:multiLevelType w:val="hybridMultilevel"/>
    <w:tmpl w:val="D6B67ED4"/>
    <w:lvl w:ilvl="0" w:tplc="FB243384">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1C5725"/>
    <w:multiLevelType w:val="hybridMultilevel"/>
    <w:tmpl w:val="8BD03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6645508">
    <w:abstractNumId w:val="6"/>
  </w:num>
  <w:num w:numId="2" w16cid:durableId="1594557158">
    <w:abstractNumId w:val="12"/>
  </w:num>
  <w:num w:numId="3" w16cid:durableId="211232754">
    <w:abstractNumId w:val="2"/>
  </w:num>
  <w:num w:numId="4" w16cid:durableId="1398046672">
    <w:abstractNumId w:val="1"/>
  </w:num>
  <w:num w:numId="5" w16cid:durableId="362874923">
    <w:abstractNumId w:val="19"/>
  </w:num>
  <w:num w:numId="6" w16cid:durableId="86972814">
    <w:abstractNumId w:val="13"/>
  </w:num>
  <w:num w:numId="7" w16cid:durableId="1350839859">
    <w:abstractNumId w:val="17"/>
  </w:num>
  <w:num w:numId="8" w16cid:durableId="2042776832">
    <w:abstractNumId w:val="4"/>
  </w:num>
  <w:num w:numId="9" w16cid:durableId="100345496">
    <w:abstractNumId w:val="18"/>
  </w:num>
  <w:num w:numId="10" w16cid:durableId="1079516980">
    <w:abstractNumId w:val="3"/>
  </w:num>
  <w:num w:numId="11" w16cid:durableId="1200433691">
    <w:abstractNumId w:val="14"/>
  </w:num>
  <w:num w:numId="12" w16cid:durableId="1158570942">
    <w:abstractNumId w:val="5"/>
  </w:num>
  <w:num w:numId="13" w16cid:durableId="220940961">
    <w:abstractNumId w:val="0"/>
  </w:num>
  <w:num w:numId="14" w16cid:durableId="797840806">
    <w:abstractNumId w:val="10"/>
  </w:num>
  <w:num w:numId="15" w16cid:durableId="7564180">
    <w:abstractNumId w:val="16"/>
  </w:num>
  <w:num w:numId="16" w16cid:durableId="78984408">
    <w:abstractNumId w:val="8"/>
  </w:num>
  <w:num w:numId="17" w16cid:durableId="255407277">
    <w:abstractNumId w:val="9"/>
  </w:num>
  <w:num w:numId="18" w16cid:durableId="934437613">
    <w:abstractNumId w:val="11"/>
  </w:num>
  <w:num w:numId="19" w16cid:durableId="1201086183">
    <w:abstractNumId w:val="15"/>
  </w:num>
  <w:num w:numId="20" w16cid:durableId="55671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17"/>
    <w:rsid w:val="000A1E45"/>
    <w:rsid w:val="000D718B"/>
    <w:rsid w:val="00101296"/>
    <w:rsid w:val="00116EA5"/>
    <w:rsid w:val="001178CE"/>
    <w:rsid w:val="001801E6"/>
    <w:rsid w:val="00193EAA"/>
    <w:rsid w:val="00194505"/>
    <w:rsid w:val="001A652F"/>
    <w:rsid w:val="0022748F"/>
    <w:rsid w:val="00237F17"/>
    <w:rsid w:val="00243496"/>
    <w:rsid w:val="00244923"/>
    <w:rsid w:val="00255CF8"/>
    <w:rsid w:val="00260808"/>
    <w:rsid w:val="00286C6D"/>
    <w:rsid w:val="002A7DC0"/>
    <w:rsid w:val="002C208F"/>
    <w:rsid w:val="002F0A93"/>
    <w:rsid w:val="002F74CF"/>
    <w:rsid w:val="00305C8F"/>
    <w:rsid w:val="00307EED"/>
    <w:rsid w:val="00315994"/>
    <w:rsid w:val="0033796B"/>
    <w:rsid w:val="003532D8"/>
    <w:rsid w:val="003607CF"/>
    <w:rsid w:val="0038385D"/>
    <w:rsid w:val="003A7F11"/>
    <w:rsid w:val="0040135A"/>
    <w:rsid w:val="004D37BC"/>
    <w:rsid w:val="005365E4"/>
    <w:rsid w:val="005665AC"/>
    <w:rsid w:val="005717AE"/>
    <w:rsid w:val="005C308F"/>
    <w:rsid w:val="00602297"/>
    <w:rsid w:val="00613E11"/>
    <w:rsid w:val="00623F24"/>
    <w:rsid w:val="00640EBE"/>
    <w:rsid w:val="006925E7"/>
    <w:rsid w:val="006F5377"/>
    <w:rsid w:val="0073294B"/>
    <w:rsid w:val="00743B78"/>
    <w:rsid w:val="007576BF"/>
    <w:rsid w:val="007A5617"/>
    <w:rsid w:val="007C081A"/>
    <w:rsid w:val="007D4243"/>
    <w:rsid w:val="007E2EE6"/>
    <w:rsid w:val="007E7FF4"/>
    <w:rsid w:val="00813333"/>
    <w:rsid w:val="00827CE0"/>
    <w:rsid w:val="00846D69"/>
    <w:rsid w:val="0088327B"/>
    <w:rsid w:val="008A659A"/>
    <w:rsid w:val="008B1C42"/>
    <w:rsid w:val="0090443C"/>
    <w:rsid w:val="0091553D"/>
    <w:rsid w:val="00964F9E"/>
    <w:rsid w:val="00982924"/>
    <w:rsid w:val="00994160"/>
    <w:rsid w:val="009964F6"/>
    <w:rsid w:val="00997AD9"/>
    <w:rsid w:val="00A06CE9"/>
    <w:rsid w:val="00A2539C"/>
    <w:rsid w:val="00A26B90"/>
    <w:rsid w:val="00A44CBA"/>
    <w:rsid w:val="00A8526E"/>
    <w:rsid w:val="00A95262"/>
    <w:rsid w:val="00AB68CD"/>
    <w:rsid w:val="00AF25D4"/>
    <w:rsid w:val="00B068CB"/>
    <w:rsid w:val="00B20242"/>
    <w:rsid w:val="00B22EB1"/>
    <w:rsid w:val="00B45DA4"/>
    <w:rsid w:val="00B6628B"/>
    <w:rsid w:val="00C31339"/>
    <w:rsid w:val="00C71178"/>
    <w:rsid w:val="00C9364F"/>
    <w:rsid w:val="00CF2294"/>
    <w:rsid w:val="00CF23A6"/>
    <w:rsid w:val="00D1064F"/>
    <w:rsid w:val="00D92D40"/>
    <w:rsid w:val="00D959FE"/>
    <w:rsid w:val="00D96411"/>
    <w:rsid w:val="00DA274E"/>
    <w:rsid w:val="00DF2D29"/>
    <w:rsid w:val="00E152BA"/>
    <w:rsid w:val="00E27FAC"/>
    <w:rsid w:val="00E437E1"/>
    <w:rsid w:val="00E63A77"/>
    <w:rsid w:val="00E66489"/>
    <w:rsid w:val="00E84F8C"/>
    <w:rsid w:val="00E96C66"/>
    <w:rsid w:val="00E9755E"/>
    <w:rsid w:val="00EA2FA0"/>
    <w:rsid w:val="00EC3036"/>
    <w:rsid w:val="00ED218B"/>
    <w:rsid w:val="00EE5538"/>
    <w:rsid w:val="00EF2938"/>
    <w:rsid w:val="00F05AC8"/>
    <w:rsid w:val="00F24E62"/>
    <w:rsid w:val="00F4322F"/>
    <w:rsid w:val="00F84386"/>
    <w:rsid w:val="00F90DE0"/>
    <w:rsid w:val="00FC385E"/>
    <w:rsid w:val="00FC74A5"/>
    <w:rsid w:val="00FD49C6"/>
    <w:rsid w:val="00FE2E8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772"/>
  <w15:docId w15:val="{9ACC280C-CF46-412B-B41D-29DE25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039">
      <w:bodyDiv w:val="1"/>
      <w:marLeft w:val="0"/>
      <w:marRight w:val="0"/>
      <w:marTop w:val="0"/>
      <w:marBottom w:val="0"/>
      <w:divBdr>
        <w:top w:val="none" w:sz="0" w:space="0" w:color="auto"/>
        <w:left w:val="none" w:sz="0" w:space="0" w:color="auto"/>
        <w:bottom w:val="none" w:sz="0" w:space="0" w:color="auto"/>
        <w:right w:val="none" w:sz="0" w:space="0" w:color="auto"/>
      </w:divBdr>
    </w:div>
    <w:div w:id="465049344">
      <w:bodyDiv w:val="1"/>
      <w:marLeft w:val="0"/>
      <w:marRight w:val="0"/>
      <w:marTop w:val="0"/>
      <w:marBottom w:val="0"/>
      <w:divBdr>
        <w:top w:val="none" w:sz="0" w:space="0" w:color="auto"/>
        <w:left w:val="none" w:sz="0" w:space="0" w:color="auto"/>
        <w:bottom w:val="none" w:sz="0" w:space="0" w:color="auto"/>
        <w:right w:val="none" w:sz="0" w:space="0" w:color="auto"/>
      </w:divBdr>
    </w:div>
    <w:div w:id="498885100">
      <w:bodyDiv w:val="1"/>
      <w:marLeft w:val="0"/>
      <w:marRight w:val="0"/>
      <w:marTop w:val="0"/>
      <w:marBottom w:val="0"/>
      <w:divBdr>
        <w:top w:val="none" w:sz="0" w:space="0" w:color="auto"/>
        <w:left w:val="none" w:sz="0" w:space="0" w:color="auto"/>
        <w:bottom w:val="none" w:sz="0" w:space="0" w:color="auto"/>
        <w:right w:val="none" w:sz="0" w:space="0" w:color="auto"/>
      </w:divBdr>
    </w:div>
    <w:div w:id="539051243">
      <w:bodyDiv w:val="1"/>
      <w:marLeft w:val="0"/>
      <w:marRight w:val="0"/>
      <w:marTop w:val="0"/>
      <w:marBottom w:val="0"/>
      <w:divBdr>
        <w:top w:val="none" w:sz="0" w:space="0" w:color="auto"/>
        <w:left w:val="none" w:sz="0" w:space="0" w:color="auto"/>
        <w:bottom w:val="none" w:sz="0" w:space="0" w:color="auto"/>
        <w:right w:val="none" w:sz="0" w:space="0" w:color="auto"/>
      </w:divBdr>
    </w:div>
    <w:div w:id="828910997">
      <w:bodyDiv w:val="1"/>
      <w:marLeft w:val="0"/>
      <w:marRight w:val="0"/>
      <w:marTop w:val="0"/>
      <w:marBottom w:val="0"/>
      <w:divBdr>
        <w:top w:val="none" w:sz="0" w:space="0" w:color="auto"/>
        <w:left w:val="none" w:sz="0" w:space="0" w:color="auto"/>
        <w:bottom w:val="none" w:sz="0" w:space="0" w:color="auto"/>
        <w:right w:val="none" w:sz="0" w:space="0" w:color="auto"/>
      </w:divBdr>
    </w:div>
    <w:div w:id="1035883677">
      <w:bodyDiv w:val="1"/>
      <w:marLeft w:val="0"/>
      <w:marRight w:val="0"/>
      <w:marTop w:val="0"/>
      <w:marBottom w:val="0"/>
      <w:divBdr>
        <w:top w:val="none" w:sz="0" w:space="0" w:color="auto"/>
        <w:left w:val="none" w:sz="0" w:space="0" w:color="auto"/>
        <w:bottom w:val="none" w:sz="0" w:space="0" w:color="auto"/>
        <w:right w:val="none" w:sz="0" w:space="0" w:color="auto"/>
      </w:divBdr>
    </w:div>
    <w:div w:id="1215891600">
      <w:bodyDiv w:val="1"/>
      <w:marLeft w:val="0"/>
      <w:marRight w:val="0"/>
      <w:marTop w:val="0"/>
      <w:marBottom w:val="0"/>
      <w:divBdr>
        <w:top w:val="none" w:sz="0" w:space="0" w:color="auto"/>
        <w:left w:val="none" w:sz="0" w:space="0" w:color="auto"/>
        <w:bottom w:val="none" w:sz="0" w:space="0" w:color="auto"/>
        <w:right w:val="none" w:sz="0" w:space="0" w:color="auto"/>
      </w:divBdr>
    </w:div>
    <w:div w:id="15167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705</Words>
  <Characters>3740</Characters>
  <Application>Microsoft Office Word</Application>
  <DocSecurity>4</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Rørtveit Mundal</dc:creator>
  <cp:lastModifiedBy>Knut Tore Stokke</cp:lastModifiedBy>
  <cp:revision>2</cp:revision>
  <cp:lastPrinted>2015-07-02T11:12:00Z</cp:lastPrinted>
  <dcterms:created xsi:type="dcterms:W3CDTF">2023-05-05T09:15:00Z</dcterms:created>
  <dcterms:modified xsi:type="dcterms:W3CDTF">2023-05-05T09:15:00Z</dcterms:modified>
</cp:coreProperties>
</file>