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642E" w14:textId="27806AD5" w:rsidR="00BE3FEE" w:rsidRDefault="00EA6021" w:rsidP="00BE3FEE">
      <w:pPr>
        <w:pStyle w:val="Overskrift1"/>
      </w:pPr>
      <w:r>
        <w:t>Budsjett 2024</w:t>
      </w:r>
    </w:p>
    <w:p w14:paraId="6AE9334B" w14:textId="0DF54ACC" w:rsidR="00A268F0" w:rsidRDefault="00BE3FEE" w:rsidP="00BE3FEE">
      <w:pPr>
        <w:pStyle w:val="Overskrift2"/>
      </w:pPr>
      <w:r>
        <w:t xml:space="preserve">Notat til </w:t>
      </w:r>
      <w:r w:rsidR="00EA6021">
        <w:t>instituttrådsmøtet 29.11.23</w:t>
      </w:r>
    </w:p>
    <w:p w14:paraId="2DF759D7" w14:textId="5DD8415B" w:rsidR="001C58FB" w:rsidRDefault="005E5C7F" w:rsidP="00AD248C">
      <w:r>
        <w:t xml:space="preserve">Fra: </w:t>
      </w:r>
      <w:r w:rsidR="00EA6021">
        <w:t>Knut Tor</w:t>
      </w:r>
      <w:r w:rsidR="007828FF">
        <w:t>e</w:t>
      </w:r>
    </w:p>
    <w:p w14:paraId="0D2EFFBF" w14:textId="77777777" w:rsidR="00C05978" w:rsidRDefault="00C05978" w:rsidP="00C05978">
      <w:pPr>
        <w:pStyle w:val="Overskrift3"/>
      </w:pPr>
      <w:r>
        <w:t>Bakgrunn</w:t>
      </w:r>
    </w:p>
    <w:p w14:paraId="68FEAB86" w14:textId="1EE68194" w:rsidR="00C05978" w:rsidRDefault="00EA6021" w:rsidP="00C05978">
      <w:r>
        <w:t>Helsam skal levere budsjett for 2024 i begynnelsen av desember. I tillegg til selve budsjettet leverer vi en virksomhetsrapport</w:t>
      </w:r>
      <w:r w:rsidR="007828FF">
        <w:t xml:space="preserve"> med</w:t>
      </w:r>
      <w:r>
        <w:t xml:space="preserve"> komment</w:t>
      </w:r>
      <w:r w:rsidR="007828FF">
        <w:t>a</w:t>
      </w:r>
      <w:r>
        <w:t>re</w:t>
      </w:r>
      <w:r w:rsidR="007828FF">
        <w:t>r</w:t>
      </w:r>
      <w:r>
        <w:t>.</w:t>
      </w:r>
      <w:r w:rsidR="004122A3">
        <w:t xml:space="preserve"> Budsjettet som presenteres her er fortsatt under arbeid, men de vesentligste elementene er kvalitetssikret. </w:t>
      </w:r>
      <w:r>
        <w:t xml:space="preserve"> </w:t>
      </w:r>
    </w:p>
    <w:p w14:paraId="0F047DBA" w14:textId="77777777" w:rsidR="007828FF" w:rsidRDefault="00EA6021" w:rsidP="00C05978">
      <w:r>
        <w:t xml:space="preserve">Som vi har gjort rede for i forbindelse med innlevert langtidsprognose tidligere i høst så er instituttet i ferd med å gå inn i en svært krevende økonomisk situasjon. Det er to hovedårsaker til dette. Den ene er at vi har økt aktivtetsnivået vårt primært gjennom opprettelsen av et nytt masterprogram, men også gjennom etableringen av Campus sør. Parallelt med økning av aktivitet så har vi gjennomført en bemanningsplan for vitenskapelige stillinger som skulle bidra til en forsvarlig kapasitet for å gjennomføre undervisningen når vi tar høyde for ansattes frikjøp. </w:t>
      </w:r>
      <w:r w:rsidR="007828FF">
        <w:t xml:space="preserve">Bakgrunnen for bemanningsplanen var dels skjev belastning på tvers av avdelingene, men også for liten reell kapasitet for å løse oppgavene. </w:t>
      </w:r>
      <w:r>
        <w:t xml:space="preserve">Samlet sett har derfor bemanningen gått noe opp. </w:t>
      </w:r>
    </w:p>
    <w:p w14:paraId="528DEFDD" w14:textId="37D66F26" w:rsidR="00EA6021" w:rsidRDefault="00EA6021" w:rsidP="00C05978">
      <w:r>
        <w:t>Den andre hovedårsaken til de økonomiske utfordringene er den sterke pris- og lønnsveksten.</w:t>
      </w:r>
      <w:r w:rsidR="00403CB3">
        <w:t xml:space="preserve"> Veksten i inntekter og utviklingen i nettobidraget kompenser ikke for økningen i kostnader. </w:t>
      </w:r>
      <w:r>
        <w:t xml:space="preserve"> </w:t>
      </w:r>
    </w:p>
    <w:p w14:paraId="3B6A62CD" w14:textId="2D378B1B" w:rsidR="00EA6021" w:rsidRDefault="00EA6021" w:rsidP="00C05978">
      <w:r>
        <w:t xml:space="preserve">I langtidsprognosen oppnådde vi økonomisk balanse gjennom å holde stillinger ledig ved avgang. Det får særlig effekt i form av en reduksjon i de bevilgningsfinansierte rekrutteringsstillingene. </w:t>
      </w:r>
      <w:r w:rsidR="00E2600B">
        <w:t xml:space="preserve">For budsjettet for neste år vil naturlige avganger i liten grad bidra til </w:t>
      </w:r>
      <w:r w:rsidR="007828FF">
        <w:t xml:space="preserve">slike </w:t>
      </w:r>
      <w:r w:rsidR="00E2600B">
        <w:t xml:space="preserve">innsparinger. </w:t>
      </w:r>
    </w:p>
    <w:p w14:paraId="6B274E22" w14:textId="5A84DD93" w:rsidR="00E2600B" w:rsidRDefault="00E2600B" w:rsidP="00E2600B">
      <w:pPr>
        <w:pStyle w:val="Overskrift3"/>
      </w:pPr>
      <w:r>
        <w:t>Innteker</w:t>
      </w:r>
    </w:p>
    <w:p w14:paraId="6FDC0BAB" w14:textId="42E8B6AE" w:rsidR="00FD3731" w:rsidRDefault="00E2600B" w:rsidP="00E2600B">
      <w:r>
        <w:t xml:space="preserve">Fakultetsstyret vedtok i september en tildeling for Helsam på </w:t>
      </w:r>
      <w:r w:rsidR="007828FF">
        <w:t>102,5 mill</w:t>
      </w:r>
      <w:r>
        <w:t xml:space="preserve">. Det utgjør en økning målt mot årets </w:t>
      </w:r>
      <w:r w:rsidR="00FD3731">
        <w:t xml:space="preserve">opprinnelige </w:t>
      </w:r>
      <w:r w:rsidR="007828FF">
        <w:t>tildeling</w:t>
      </w:r>
      <w:r w:rsidR="00FD3731">
        <w:t xml:space="preserve"> på</w:t>
      </w:r>
      <w:r>
        <w:t xml:space="preserve"> </w:t>
      </w:r>
      <w:r w:rsidR="00FD3731">
        <w:t xml:space="preserve">0,7 </w:t>
      </w:r>
      <w:r w:rsidR="007828FF">
        <w:t>mill.</w:t>
      </w:r>
      <w:r>
        <w:t xml:space="preserve"> </w:t>
      </w:r>
      <w:r w:rsidR="00FD3731">
        <w:t xml:space="preserve">Årets tildeling ble kuttet vesentlig i etterkant av at vi hadde lagt budsjettet. Den reviderte tildelingen for i år endte dermed på 94,8 mill. For å komplisere bildet så er enkelte av kuttene i revidert tildeling delvis tilbakeført. </w:t>
      </w:r>
    </w:p>
    <w:p w14:paraId="36354092" w14:textId="638E3142" w:rsidR="00E2600B" w:rsidRDefault="00E2600B" w:rsidP="00E2600B">
      <w:r>
        <w:t xml:space="preserve">I budsjettet </w:t>
      </w:r>
      <w:r w:rsidR="009C6F17">
        <w:t>ligger det også</w:t>
      </w:r>
      <w:r>
        <w:t xml:space="preserve"> andre inntekter som ikke er en del av </w:t>
      </w:r>
      <w:r w:rsidR="009C6F17">
        <w:t xml:space="preserve">selve </w:t>
      </w:r>
      <w:r>
        <w:t xml:space="preserve">fordelingen. Det er knyttet til </w:t>
      </w:r>
      <w:r w:rsidR="009C6F17">
        <w:t xml:space="preserve">ulike </w:t>
      </w:r>
      <w:r>
        <w:t>øremerkede satsninger, blant annet får vi en firkjøpsinntekt knyttet til arbeid som Chair i Global helse i Circle U-samarbeide, frikjøp av leder for enheten HELP på fakultet og som leder av en satsning på klynger i samarbeid mellom the Guild og ARUA (African Research University Alliance). Samlet inntekt for 2024 blir dermed knapt 108 mi</w:t>
      </w:r>
      <w:r w:rsidR="00E62F38">
        <w:t>l</w:t>
      </w:r>
      <w:r>
        <w:t>l.</w:t>
      </w:r>
      <w:r w:rsidR="00FD3731">
        <w:t xml:space="preserve"> Samlet inntekt i bevilgningsøkonomien for i år er beregnet til </w:t>
      </w:r>
      <w:r w:rsidR="00D4644B">
        <w:t>105,2</w:t>
      </w:r>
      <w:r w:rsidR="00FD3731">
        <w:t xml:space="preserve"> mill. </w:t>
      </w:r>
    </w:p>
    <w:p w14:paraId="5B4ACFDC" w14:textId="72557112" w:rsidR="00E2600B" w:rsidRDefault="00E2600B" w:rsidP="00E2600B">
      <w:pPr>
        <w:pStyle w:val="Overskrift3"/>
      </w:pPr>
      <w:r>
        <w:t>Personalkostnader</w:t>
      </w:r>
    </w:p>
    <w:p w14:paraId="52DFC117" w14:textId="3C3030F0" w:rsidR="00E2600B" w:rsidRDefault="00E2600B" w:rsidP="00E2600B">
      <w:r>
        <w:t xml:space="preserve">Som beskrevet over så øker personalkostnadene som følge av økte aktiviteter og gjennomføringen av bemanningsplan for vitenskapelige stillinger. I budsjettforslaget ligger det inne </w:t>
      </w:r>
      <w:r w:rsidR="0055672D">
        <w:t>139,9</w:t>
      </w:r>
      <w:r>
        <w:t xml:space="preserve"> årsverk for 2024 mot </w:t>
      </w:r>
      <w:r w:rsidR="00E46265">
        <w:t>134,4</w:t>
      </w:r>
      <w:r>
        <w:t xml:space="preserve"> for 2022 og </w:t>
      </w:r>
      <w:r w:rsidR="00E46265">
        <w:t>150,1</w:t>
      </w:r>
      <w:r>
        <w:t xml:space="preserve"> for 2021. </w:t>
      </w:r>
    </w:p>
    <w:p w14:paraId="7F3F4928" w14:textId="533DDB2B" w:rsidR="00A567D4" w:rsidRDefault="00E2600B" w:rsidP="00E2600B">
      <w:r>
        <w:t>Budsjettforslaget innebærer ingen udisponerte nye personalressurser med unntak for at det er satt av et halvt årsverk som vikar knyttet til</w:t>
      </w:r>
      <w:r w:rsidR="007873BB">
        <w:t xml:space="preserve"> frikjøp</w:t>
      </w:r>
      <w:r>
        <w:t xml:space="preserve"> et nylig innvilget ERC-prosjekt ved SME. </w:t>
      </w:r>
      <w:r w:rsidR="007873BB">
        <w:t xml:space="preserve">Dette er </w:t>
      </w:r>
      <w:r w:rsidR="007873BB">
        <w:lastRenderedPageBreak/>
        <w:t xml:space="preserve">prioritert utfra en vurdering av at SME har underkapasitet på undervisningsressurser både for neste år og over de siste årene. </w:t>
      </w:r>
      <w:r>
        <w:t xml:space="preserve">Tre avdelinger har meldt inn </w:t>
      </w:r>
      <w:r w:rsidR="00A567D4">
        <w:t>behov for å styrke bemanningen ytterligere for en forsvarlig gjennomføring av undervisningen neste år. Vi har så langt ikke tatt stilling til om vi kan innvilge dette.</w:t>
      </w:r>
    </w:p>
    <w:p w14:paraId="0307DD58" w14:textId="1BC5C38A" w:rsidR="00A567D4" w:rsidRDefault="00A567D4" w:rsidP="00E2600B">
      <w:r>
        <w:t>Selv om det er begrenset økning i årsverk sammenlignet med i år så øker personalkostnadene dramatisk på grunn av lønnsøkning. Helårseffekten av årets lønnsoppgjør</w:t>
      </w:r>
      <w:r w:rsidR="007873BB">
        <w:t xml:space="preserve"> (5,3%)</w:t>
      </w:r>
      <w:r>
        <w:t xml:space="preserve"> og forventet lønnsvekst neste år</w:t>
      </w:r>
      <w:r w:rsidR="007873BB">
        <w:t xml:space="preserve"> (4</w:t>
      </w:r>
      <w:r w:rsidR="00533892">
        <w:t>,3</w:t>
      </w:r>
      <w:r w:rsidR="007873BB">
        <w:t>%)</w:t>
      </w:r>
      <w:r>
        <w:t xml:space="preserve"> øker til sammen personalkostnadene med 16 mill sammenlignet med inneværende år. Veksten i inntekter inkludert ekstra kompensasjon i Revidert </w:t>
      </w:r>
      <w:r w:rsidR="00533892">
        <w:t>nasjonalbudsjett</w:t>
      </w:r>
      <w:r>
        <w:t xml:space="preserve"> er langt unna å være tilstrekkelig for å kompensere for lønnsveksten. Dette blir dermed den viktigste årsaken til våre økonomiske utfordringer. </w:t>
      </w:r>
    </w:p>
    <w:p w14:paraId="25D4B443" w14:textId="77777777" w:rsidR="00A567D4" w:rsidRDefault="00A567D4" w:rsidP="00A567D4">
      <w:pPr>
        <w:pStyle w:val="Overskrift3"/>
      </w:pPr>
      <w:r>
        <w:t>Driftskostnader og investeringer</w:t>
      </w:r>
    </w:p>
    <w:p w14:paraId="1D7A45B1" w14:textId="72461467" w:rsidR="00A567D4" w:rsidRDefault="00A567D4" w:rsidP="00A567D4">
      <w:r>
        <w:t xml:space="preserve">Driftskostnader og investeringer er i stor grad budsjettert som en framskrivning av årets budsjett. Det er i utgangspunktet ikke lagt inn kompensasjon for prisvekst, og det innebærer dermed en viss realreduksjon i forventede kostnader. Driftsutgiftene går samlet sett noe opp fordi vi har en viss økning i ulike øremerkede tildelinger. Stimuleringsmidler knyttet til koordinering av EU-prosjekter og satsningen på forskningsklynge (the Guild/ARUA) er de viktigste forklaringene. </w:t>
      </w:r>
      <w:r w:rsidR="00533892">
        <w:t xml:space="preserve">Det er i tillegg en vekst i enkelte faste driftskostnader blant annet kostnader knyttet til boligutgifter for studenter som er i praksis. </w:t>
      </w:r>
    </w:p>
    <w:p w14:paraId="11844AF5" w14:textId="09BD0E1F" w:rsidR="00A567D4" w:rsidRDefault="00A567D4" w:rsidP="00A567D4">
      <w:r>
        <w:t xml:space="preserve">Det er satt av 3,5 mill til faglig drift i avdelingene neste år. Det er </w:t>
      </w:r>
      <w:r w:rsidR="008261D9">
        <w:t xml:space="preserve">1 mill. lavere enn for </w:t>
      </w:r>
      <w:r>
        <w:t xml:space="preserve">inneværende år. </w:t>
      </w:r>
    </w:p>
    <w:p w14:paraId="36BD6B86" w14:textId="01AFC7D6" w:rsidR="00610054" w:rsidRDefault="00A567D4" w:rsidP="00A567D4">
      <w:r>
        <w:t xml:space="preserve">Timelønnskostnadene er økt </w:t>
      </w:r>
      <w:r w:rsidR="00533892">
        <w:t>noe</w:t>
      </w:r>
      <w:r>
        <w:t xml:space="preserve"> for å kompensere for </w:t>
      </w:r>
      <w:r w:rsidR="00610054">
        <w:t>lønnsvekst.</w:t>
      </w:r>
      <w:r w:rsidR="00533892">
        <w:t xml:space="preserve"> Det gjenstår noe arbeid med kvalitetssikring av timelønnskostnader for neste år, men samlet sett utgjør dette en liten del av personalkostnadene. </w:t>
      </w:r>
      <w:r w:rsidR="00610054">
        <w:t xml:space="preserve"> </w:t>
      </w:r>
    </w:p>
    <w:p w14:paraId="4BD48127" w14:textId="77777777" w:rsidR="00610054" w:rsidRDefault="00610054" w:rsidP="00610054">
      <w:pPr>
        <w:pStyle w:val="Overskrift3"/>
      </w:pPr>
      <w:r>
        <w:t>Nettobidrag fra BOA-aktiviteten</w:t>
      </w:r>
    </w:p>
    <w:p w14:paraId="4B5EEB09" w14:textId="1C32142C" w:rsidR="00533892" w:rsidRDefault="00610054" w:rsidP="00610054">
      <w:r>
        <w:t>Nettobidraget fra BOA er budsjetter</w:t>
      </w:r>
      <w:r w:rsidR="00533892">
        <w:t>t</w:t>
      </w:r>
      <w:r>
        <w:t xml:space="preserve"> til 43,2 mill. Det er på nivå med det vi la til grunn i langtidsbudsjettet tidligere i år. </w:t>
      </w:r>
      <w:r w:rsidR="00533892">
        <w:t>Nettobidraget utgjorde 4</w:t>
      </w:r>
      <w:r w:rsidR="001E2918">
        <w:t>7</w:t>
      </w:r>
      <w:r w:rsidR="00533892">
        <w:t>,</w:t>
      </w:r>
      <w:r w:rsidR="001E2918">
        <w:t>2</w:t>
      </w:r>
      <w:r w:rsidR="00533892">
        <w:t xml:space="preserve"> mill i fjor og er forventet å utgjøre </w:t>
      </w:r>
      <w:r w:rsidR="001E2918">
        <w:t>45,7</w:t>
      </w:r>
      <w:r w:rsidR="00533892">
        <w:t xml:space="preserve"> mill. i år. Nettobidraget </w:t>
      </w:r>
      <w:r w:rsidR="00403CB3">
        <w:t xml:space="preserve">utgjør en svært stor del av inntekstgrunnlaget i bevilgningsøkonomien og selv om nedgangen i absolutte tall er begrenset så blir realnedgangen stor når vi tar hensyn til pris- og lønnsvekst på kostnadssiden. </w:t>
      </w:r>
    </w:p>
    <w:p w14:paraId="31557030" w14:textId="32038054" w:rsidR="00610054" w:rsidRDefault="00610054" w:rsidP="00610054">
      <w:r>
        <w:t xml:space="preserve">Det ligger ikke inne forventning om nettobidrag fra hittil ukjente prosjekter med oppstart neste år. Samtidig så er det heller ikke lagt inn noen forventning om redusert nettobidrag knyttet til forsinkelser/lavere aktivitet enn budsjettert i eksisterende prosjekter. </w:t>
      </w:r>
    </w:p>
    <w:p w14:paraId="43551535" w14:textId="77777777" w:rsidR="00610054" w:rsidRDefault="00610054" w:rsidP="00610054">
      <w:r>
        <w:t xml:space="preserve">Gjennom året så har instituttet hatt gledelig stor uttelling i form av nye EU-prosjekter, men samtidig ikke fått innvilget noen nye prosjekter fra NFR. Bortfallet av nye NFR-prosjekter utgjør en betydelig risiko for utviklingen av nettobidraget på lengre sikt, men får begrenset betydning for neste års budsjett. </w:t>
      </w:r>
    </w:p>
    <w:p w14:paraId="66C07E9B" w14:textId="77777777" w:rsidR="00610054" w:rsidRDefault="00610054" w:rsidP="00610054">
      <w:pPr>
        <w:pStyle w:val="Overskrift3"/>
      </w:pPr>
      <w:r>
        <w:t>Akkumulert merforbruk</w:t>
      </w:r>
    </w:p>
    <w:p w14:paraId="57A605A5" w14:textId="281E53DE" w:rsidR="00610054" w:rsidRDefault="00610054" w:rsidP="00610054">
      <w:r>
        <w:t xml:space="preserve">Oppdatert prognose for i år </w:t>
      </w:r>
      <w:r w:rsidR="008261D9">
        <w:t xml:space="preserve">viser at vi vil gå ut av året i økonomisk balanse. Det er 2,8 mill. bedre enn ved T2 rapporten og det skyldes økning av inntektene. Inntektsøkningen er knyttet til øremerkede midler som ikke var inne i tidligere prognose og en overføring av inntekt og kostnader til </w:t>
      </w:r>
      <w:r w:rsidR="008261D9">
        <w:lastRenderedPageBreak/>
        <w:t xml:space="preserve">bevilgningsøkonomien i forbindelse med gjennomføring av en konferanse. Effekten av de øremerkede midlene er en økning i framtidige forpliktelser så inntektsøkningen innebærer i svært begrenset grad noen bedring av det økonomiske handlingsrommet. </w:t>
      </w:r>
      <w:r>
        <w:t xml:space="preserve"> Budsjettet for året var et overforbruk på 4,5 mill og ved T1 rapporteringen lå det an til et overforbruk på nesten 10 mill. Reduksjonen i overforbruk </w:t>
      </w:r>
      <w:r w:rsidR="008261D9">
        <w:t xml:space="preserve">siden T1 </w:t>
      </w:r>
      <w:r>
        <w:t xml:space="preserve">er primært knyttet til ekstra tildeling i Revidert nasjonalbudsjett og at UiO nå i høst har tilbakeført deler av </w:t>
      </w:r>
      <w:r w:rsidR="00403CB3">
        <w:t xml:space="preserve">de ekstraordinære </w:t>
      </w:r>
      <w:r>
        <w:t>kutte</w:t>
      </w:r>
      <w:r w:rsidR="00403CB3">
        <w:t xml:space="preserve">ne som ble vedtatt etter at vi hadde levert fjorårets budsjett. </w:t>
      </w:r>
      <w:r>
        <w:t xml:space="preserve">Overforbruket </w:t>
      </w:r>
      <w:r w:rsidR="00403CB3">
        <w:t xml:space="preserve">inneværende år </w:t>
      </w:r>
      <w:r>
        <w:t xml:space="preserve">er også redusert som følge av senere tiltredelse </w:t>
      </w:r>
      <w:r w:rsidR="00403CB3">
        <w:t xml:space="preserve">enn planlagt </w:t>
      </w:r>
      <w:r>
        <w:t xml:space="preserve">i nye stillinger. </w:t>
      </w:r>
    </w:p>
    <w:p w14:paraId="2166386C" w14:textId="77777777" w:rsidR="00610054" w:rsidRDefault="00610054" w:rsidP="00610054">
      <w:pPr>
        <w:pStyle w:val="Overskrift3"/>
      </w:pPr>
      <w:r>
        <w:t>Budsjett 2024 pr 23.11.23</w:t>
      </w:r>
    </w:p>
    <w:tbl>
      <w:tblPr>
        <w:tblStyle w:val="Tabellrutenett"/>
        <w:tblW w:w="0" w:type="auto"/>
        <w:tblLook w:val="04A0" w:firstRow="1" w:lastRow="0" w:firstColumn="1" w:lastColumn="0" w:noHBand="0" w:noVBand="1"/>
      </w:tblPr>
      <w:tblGrid>
        <w:gridCol w:w="3880"/>
        <w:gridCol w:w="3174"/>
      </w:tblGrid>
      <w:tr w:rsidR="005F524B" w:rsidRPr="005F524B" w14:paraId="7148E765" w14:textId="77777777" w:rsidTr="000C11FA">
        <w:trPr>
          <w:trHeight w:val="600"/>
        </w:trPr>
        <w:tc>
          <w:tcPr>
            <w:tcW w:w="3880" w:type="dxa"/>
            <w:shd w:val="clear" w:color="auto" w:fill="C6D9F1" w:themeFill="text2" w:themeFillTint="33"/>
            <w:noWrap/>
            <w:hideMark/>
          </w:tcPr>
          <w:p w14:paraId="392A267B" w14:textId="77777777" w:rsidR="005F524B" w:rsidRPr="005F524B" w:rsidRDefault="005F524B" w:rsidP="005F524B">
            <w:pPr>
              <w:pStyle w:val="Overskrift3"/>
            </w:pPr>
          </w:p>
        </w:tc>
        <w:tc>
          <w:tcPr>
            <w:tcW w:w="3174" w:type="dxa"/>
            <w:shd w:val="clear" w:color="auto" w:fill="C6D9F1" w:themeFill="text2" w:themeFillTint="33"/>
            <w:hideMark/>
          </w:tcPr>
          <w:p w14:paraId="21130238" w14:textId="559FA57F" w:rsidR="005F524B" w:rsidRPr="005F524B" w:rsidRDefault="005F524B" w:rsidP="005F524B">
            <w:pPr>
              <w:pStyle w:val="Overskrift3"/>
            </w:pPr>
            <w:r w:rsidRPr="005F524B">
              <w:t>Budsjett i arbeid 2024</w:t>
            </w:r>
          </w:p>
        </w:tc>
      </w:tr>
      <w:tr w:rsidR="005F524B" w:rsidRPr="005F524B" w14:paraId="6E7B5ED6" w14:textId="77777777" w:rsidTr="000C11FA">
        <w:trPr>
          <w:trHeight w:val="300"/>
        </w:trPr>
        <w:tc>
          <w:tcPr>
            <w:tcW w:w="3880" w:type="dxa"/>
            <w:shd w:val="clear" w:color="auto" w:fill="F2F2F2" w:themeFill="background1" w:themeFillShade="F2"/>
            <w:noWrap/>
            <w:hideMark/>
          </w:tcPr>
          <w:p w14:paraId="14E211B8" w14:textId="77777777" w:rsidR="005F524B" w:rsidRPr="005F524B" w:rsidRDefault="005F524B" w:rsidP="005F524B">
            <w:pPr>
              <w:pStyle w:val="Overskrift3"/>
            </w:pPr>
            <w:r w:rsidRPr="005F524B">
              <w:t>Inntekter</w:t>
            </w:r>
          </w:p>
        </w:tc>
        <w:tc>
          <w:tcPr>
            <w:tcW w:w="3174" w:type="dxa"/>
            <w:shd w:val="clear" w:color="auto" w:fill="F2F2F2" w:themeFill="background1" w:themeFillShade="F2"/>
            <w:noWrap/>
            <w:hideMark/>
          </w:tcPr>
          <w:p w14:paraId="3FCE756B" w14:textId="77777777" w:rsidR="005F524B" w:rsidRPr="005F524B" w:rsidRDefault="005F524B" w:rsidP="005F524B">
            <w:pPr>
              <w:pStyle w:val="Overskrift3"/>
            </w:pPr>
            <w:r w:rsidRPr="005F524B">
              <w:t xml:space="preserve">-       107 797 000 </w:t>
            </w:r>
          </w:p>
        </w:tc>
      </w:tr>
      <w:tr w:rsidR="005F524B" w:rsidRPr="005F524B" w14:paraId="4520E0D8" w14:textId="77777777" w:rsidTr="005F524B">
        <w:trPr>
          <w:trHeight w:val="300"/>
        </w:trPr>
        <w:tc>
          <w:tcPr>
            <w:tcW w:w="3880" w:type="dxa"/>
            <w:noWrap/>
            <w:hideMark/>
          </w:tcPr>
          <w:p w14:paraId="0DF23733" w14:textId="77777777" w:rsidR="005F524B" w:rsidRPr="005F524B" w:rsidRDefault="005F524B" w:rsidP="005F524B">
            <w:pPr>
              <w:pStyle w:val="Overskrift3"/>
            </w:pPr>
            <w:r w:rsidRPr="005F524B">
              <w:t>Fast lønn</w:t>
            </w:r>
          </w:p>
        </w:tc>
        <w:tc>
          <w:tcPr>
            <w:tcW w:w="3174" w:type="dxa"/>
            <w:noWrap/>
            <w:hideMark/>
          </w:tcPr>
          <w:p w14:paraId="203C51F5" w14:textId="77777777" w:rsidR="005F524B" w:rsidRPr="005F524B" w:rsidRDefault="005F524B" w:rsidP="005F524B">
            <w:pPr>
              <w:pStyle w:val="Overskrift3"/>
            </w:pPr>
            <w:r w:rsidRPr="005F524B">
              <w:t xml:space="preserve">         107 372 767 </w:t>
            </w:r>
          </w:p>
        </w:tc>
      </w:tr>
      <w:tr w:rsidR="005F524B" w:rsidRPr="005F524B" w14:paraId="52CDB259" w14:textId="77777777" w:rsidTr="005F524B">
        <w:trPr>
          <w:trHeight w:val="300"/>
        </w:trPr>
        <w:tc>
          <w:tcPr>
            <w:tcW w:w="3880" w:type="dxa"/>
            <w:noWrap/>
            <w:hideMark/>
          </w:tcPr>
          <w:p w14:paraId="195EAB31" w14:textId="77777777" w:rsidR="005F524B" w:rsidRPr="005F524B" w:rsidRDefault="005F524B" w:rsidP="005F524B">
            <w:pPr>
              <w:pStyle w:val="Overskrift3"/>
            </w:pPr>
            <w:r w:rsidRPr="005F524B">
              <w:t>Timelønn og honorarer</w:t>
            </w:r>
          </w:p>
        </w:tc>
        <w:tc>
          <w:tcPr>
            <w:tcW w:w="3174" w:type="dxa"/>
            <w:noWrap/>
            <w:hideMark/>
          </w:tcPr>
          <w:p w14:paraId="5FDA3FC8" w14:textId="77777777" w:rsidR="005F524B" w:rsidRPr="005F524B" w:rsidRDefault="005F524B" w:rsidP="005F524B">
            <w:pPr>
              <w:pStyle w:val="Overskrift3"/>
            </w:pPr>
            <w:r w:rsidRPr="005F524B">
              <w:t xml:space="preserve">             3 050 000 </w:t>
            </w:r>
          </w:p>
        </w:tc>
      </w:tr>
      <w:tr w:rsidR="005F524B" w:rsidRPr="005F524B" w14:paraId="2B24D691" w14:textId="77777777" w:rsidTr="005F524B">
        <w:trPr>
          <w:trHeight w:val="300"/>
        </w:trPr>
        <w:tc>
          <w:tcPr>
            <w:tcW w:w="3880" w:type="dxa"/>
            <w:noWrap/>
            <w:hideMark/>
          </w:tcPr>
          <w:p w14:paraId="383FE03E" w14:textId="77777777" w:rsidR="005F524B" w:rsidRPr="005F524B" w:rsidRDefault="005F524B" w:rsidP="005F524B">
            <w:pPr>
              <w:pStyle w:val="Overskrift3"/>
            </w:pPr>
            <w:r w:rsidRPr="005F524B">
              <w:t>Feriepenger, AGA og pensjon</w:t>
            </w:r>
          </w:p>
        </w:tc>
        <w:tc>
          <w:tcPr>
            <w:tcW w:w="3174" w:type="dxa"/>
            <w:noWrap/>
            <w:hideMark/>
          </w:tcPr>
          <w:p w14:paraId="058A712F" w14:textId="77777777" w:rsidR="005F524B" w:rsidRPr="005F524B" w:rsidRDefault="005F524B" w:rsidP="005F524B">
            <w:pPr>
              <w:pStyle w:val="Overskrift3"/>
            </w:pPr>
            <w:r w:rsidRPr="005F524B">
              <w:t xml:space="preserve">           41 094 461 </w:t>
            </w:r>
          </w:p>
        </w:tc>
      </w:tr>
      <w:tr w:rsidR="005F524B" w:rsidRPr="005F524B" w14:paraId="32F46B29" w14:textId="77777777" w:rsidTr="005F524B">
        <w:trPr>
          <w:trHeight w:val="300"/>
        </w:trPr>
        <w:tc>
          <w:tcPr>
            <w:tcW w:w="3880" w:type="dxa"/>
            <w:noWrap/>
            <w:hideMark/>
          </w:tcPr>
          <w:p w14:paraId="3F483EE2" w14:textId="77777777" w:rsidR="005F524B" w:rsidRPr="005F524B" w:rsidRDefault="005F524B" w:rsidP="005F524B">
            <w:pPr>
              <w:pStyle w:val="Overskrift3"/>
            </w:pPr>
            <w:r w:rsidRPr="005F524B">
              <w:t>Offentlige refusjoner</w:t>
            </w:r>
          </w:p>
        </w:tc>
        <w:tc>
          <w:tcPr>
            <w:tcW w:w="3174" w:type="dxa"/>
            <w:noWrap/>
            <w:hideMark/>
          </w:tcPr>
          <w:p w14:paraId="51A14582" w14:textId="77777777" w:rsidR="005F524B" w:rsidRPr="005F524B" w:rsidRDefault="005F524B" w:rsidP="005F524B">
            <w:pPr>
              <w:pStyle w:val="Overskrift3"/>
            </w:pPr>
            <w:r w:rsidRPr="005F524B">
              <w:t xml:space="preserve">-            3 000 000 </w:t>
            </w:r>
          </w:p>
        </w:tc>
      </w:tr>
      <w:tr w:rsidR="005F524B" w:rsidRPr="005F524B" w14:paraId="10F8CFB9" w14:textId="77777777" w:rsidTr="005F524B">
        <w:trPr>
          <w:trHeight w:val="300"/>
        </w:trPr>
        <w:tc>
          <w:tcPr>
            <w:tcW w:w="3880" w:type="dxa"/>
            <w:noWrap/>
            <w:hideMark/>
          </w:tcPr>
          <w:p w14:paraId="65BFE30D" w14:textId="77777777" w:rsidR="005F524B" w:rsidRPr="005F524B" w:rsidRDefault="005F524B" w:rsidP="005F524B">
            <w:pPr>
              <w:pStyle w:val="Overskrift3"/>
            </w:pPr>
            <w:r w:rsidRPr="005F524B">
              <w:t>Andre personalkostnader</w:t>
            </w:r>
          </w:p>
        </w:tc>
        <w:tc>
          <w:tcPr>
            <w:tcW w:w="3174" w:type="dxa"/>
            <w:noWrap/>
            <w:hideMark/>
          </w:tcPr>
          <w:p w14:paraId="0D765DCA" w14:textId="77777777" w:rsidR="005F524B" w:rsidRPr="005F524B" w:rsidRDefault="005F524B" w:rsidP="005F524B">
            <w:pPr>
              <w:pStyle w:val="Overskrift3"/>
            </w:pPr>
            <w:r w:rsidRPr="005F524B">
              <w:t xml:space="preserve">-               614 000 </w:t>
            </w:r>
          </w:p>
        </w:tc>
      </w:tr>
      <w:tr w:rsidR="005F524B" w:rsidRPr="005F524B" w14:paraId="7CF6DA68" w14:textId="77777777" w:rsidTr="000C11FA">
        <w:trPr>
          <w:trHeight w:val="300"/>
        </w:trPr>
        <w:tc>
          <w:tcPr>
            <w:tcW w:w="3880" w:type="dxa"/>
            <w:shd w:val="clear" w:color="auto" w:fill="F2F2F2" w:themeFill="background1" w:themeFillShade="F2"/>
            <w:noWrap/>
            <w:hideMark/>
          </w:tcPr>
          <w:p w14:paraId="3445AEAB" w14:textId="7B260221" w:rsidR="005F524B" w:rsidRPr="005F524B" w:rsidRDefault="005F524B" w:rsidP="005F524B">
            <w:pPr>
              <w:pStyle w:val="Overskrift3"/>
            </w:pPr>
            <w:r>
              <w:t>Personalkostnader samlet</w:t>
            </w:r>
          </w:p>
        </w:tc>
        <w:tc>
          <w:tcPr>
            <w:tcW w:w="3174" w:type="dxa"/>
            <w:shd w:val="clear" w:color="auto" w:fill="F2F2F2" w:themeFill="background1" w:themeFillShade="F2"/>
            <w:noWrap/>
            <w:hideMark/>
          </w:tcPr>
          <w:p w14:paraId="704AB461" w14:textId="77777777" w:rsidR="005F524B" w:rsidRPr="005F524B" w:rsidRDefault="005F524B" w:rsidP="005F524B">
            <w:pPr>
              <w:pStyle w:val="Overskrift3"/>
            </w:pPr>
            <w:r w:rsidRPr="005F524B">
              <w:t xml:space="preserve">         147 903 228 </w:t>
            </w:r>
          </w:p>
        </w:tc>
      </w:tr>
      <w:tr w:rsidR="005F524B" w:rsidRPr="005F524B" w14:paraId="5934DD11" w14:textId="77777777" w:rsidTr="000C11FA">
        <w:trPr>
          <w:trHeight w:val="300"/>
        </w:trPr>
        <w:tc>
          <w:tcPr>
            <w:tcW w:w="3880" w:type="dxa"/>
            <w:shd w:val="clear" w:color="auto" w:fill="F2F2F2" w:themeFill="background1" w:themeFillShade="F2"/>
            <w:noWrap/>
            <w:hideMark/>
          </w:tcPr>
          <w:p w14:paraId="2525BAA6" w14:textId="77777777" w:rsidR="005F524B" w:rsidRPr="005F524B" w:rsidRDefault="005F524B" w:rsidP="005F524B">
            <w:pPr>
              <w:pStyle w:val="Overskrift3"/>
            </w:pPr>
            <w:r w:rsidRPr="005F524B">
              <w:t>Driftskostnader</w:t>
            </w:r>
          </w:p>
        </w:tc>
        <w:tc>
          <w:tcPr>
            <w:tcW w:w="3174" w:type="dxa"/>
            <w:shd w:val="clear" w:color="auto" w:fill="F2F2F2" w:themeFill="background1" w:themeFillShade="F2"/>
            <w:noWrap/>
            <w:hideMark/>
          </w:tcPr>
          <w:p w14:paraId="33763751" w14:textId="77777777" w:rsidR="005F524B" w:rsidRPr="005F524B" w:rsidRDefault="005F524B" w:rsidP="005F524B">
            <w:pPr>
              <w:pStyle w:val="Overskrift3"/>
            </w:pPr>
            <w:r w:rsidRPr="005F524B">
              <w:t xml:space="preserve">           16 782 000 </w:t>
            </w:r>
          </w:p>
        </w:tc>
      </w:tr>
      <w:tr w:rsidR="005F524B" w:rsidRPr="005F524B" w14:paraId="19017B54" w14:textId="77777777" w:rsidTr="000C11FA">
        <w:trPr>
          <w:trHeight w:val="300"/>
        </w:trPr>
        <w:tc>
          <w:tcPr>
            <w:tcW w:w="3880" w:type="dxa"/>
            <w:shd w:val="clear" w:color="auto" w:fill="F2F2F2" w:themeFill="background1" w:themeFillShade="F2"/>
            <w:noWrap/>
            <w:hideMark/>
          </w:tcPr>
          <w:p w14:paraId="5C11A952" w14:textId="77777777" w:rsidR="005F524B" w:rsidRPr="005F524B" w:rsidRDefault="005F524B" w:rsidP="005F524B">
            <w:pPr>
              <w:pStyle w:val="Overskrift3"/>
            </w:pPr>
            <w:r w:rsidRPr="005F524B">
              <w:t>Investeringer</w:t>
            </w:r>
          </w:p>
        </w:tc>
        <w:tc>
          <w:tcPr>
            <w:tcW w:w="3174" w:type="dxa"/>
            <w:shd w:val="clear" w:color="auto" w:fill="F2F2F2" w:themeFill="background1" w:themeFillShade="F2"/>
            <w:noWrap/>
            <w:hideMark/>
          </w:tcPr>
          <w:p w14:paraId="2C9987F5" w14:textId="77777777" w:rsidR="005F524B" w:rsidRPr="005F524B" w:rsidRDefault="005F524B" w:rsidP="005F524B">
            <w:pPr>
              <w:pStyle w:val="Overskrift3"/>
            </w:pPr>
            <w:r w:rsidRPr="005F524B">
              <w:t xml:space="preserve">             1 500 000 </w:t>
            </w:r>
          </w:p>
        </w:tc>
      </w:tr>
      <w:tr w:rsidR="005F524B" w:rsidRPr="005F524B" w14:paraId="109E0ED2" w14:textId="77777777" w:rsidTr="000C11FA">
        <w:trPr>
          <w:trHeight w:val="300"/>
        </w:trPr>
        <w:tc>
          <w:tcPr>
            <w:tcW w:w="3880" w:type="dxa"/>
            <w:shd w:val="clear" w:color="auto" w:fill="F2F2F2" w:themeFill="background1" w:themeFillShade="F2"/>
            <w:noWrap/>
            <w:hideMark/>
          </w:tcPr>
          <w:p w14:paraId="68E4F744" w14:textId="77777777" w:rsidR="005F524B" w:rsidRPr="005F524B" w:rsidRDefault="005F524B" w:rsidP="005F524B">
            <w:pPr>
              <w:pStyle w:val="Overskrift3"/>
            </w:pPr>
            <w:r w:rsidRPr="005F524B">
              <w:t>Nettobidrag fra eksternfinansierte prosjekter</w:t>
            </w:r>
          </w:p>
        </w:tc>
        <w:tc>
          <w:tcPr>
            <w:tcW w:w="3174" w:type="dxa"/>
            <w:shd w:val="clear" w:color="auto" w:fill="F2F2F2" w:themeFill="background1" w:themeFillShade="F2"/>
            <w:noWrap/>
            <w:hideMark/>
          </w:tcPr>
          <w:p w14:paraId="32EEDCEC" w14:textId="77777777" w:rsidR="005F524B" w:rsidRPr="005F524B" w:rsidRDefault="005F524B" w:rsidP="005F524B">
            <w:pPr>
              <w:pStyle w:val="Overskrift3"/>
            </w:pPr>
            <w:r w:rsidRPr="005F524B">
              <w:t xml:space="preserve">-         43 229 390 </w:t>
            </w:r>
          </w:p>
        </w:tc>
      </w:tr>
      <w:tr w:rsidR="005F524B" w:rsidRPr="005F524B" w14:paraId="59A4FD4E" w14:textId="77777777" w:rsidTr="004122A3">
        <w:trPr>
          <w:trHeight w:val="300"/>
        </w:trPr>
        <w:tc>
          <w:tcPr>
            <w:tcW w:w="3880" w:type="dxa"/>
            <w:shd w:val="clear" w:color="auto" w:fill="FFFFFF" w:themeFill="background1"/>
            <w:noWrap/>
            <w:hideMark/>
          </w:tcPr>
          <w:p w14:paraId="1AAB53E6" w14:textId="77777777" w:rsidR="005F524B" w:rsidRPr="005F524B" w:rsidRDefault="005F524B" w:rsidP="005F524B">
            <w:pPr>
              <w:pStyle w:val="Overskrift3"/>
            </w:pPr>
            <w:r w:rsidRPr="005F524B">
              <w:t>Overført fra i fjor</w:t>
            </w:r>
          </w:p>
        </w:tc>
        <w:tc>
          <w:tcPr>
            <w:tcW w:w="3174" w:type="dxa"/>
            <w:shd w:val="clear" w:color="auto" w:fill="FFFFFF" w:themeFill="background1"/>
            <w:noWrap/>
            <w:hideMark/>
          </w:tcPr>
          <w:p w14:paraId="39BE6E94" w14:textId="02212C65" w:rsidR="005F524B" w:rsidRPr="005F524B" w:rsidRDefault="005F524B" w:rsidP="005F524B">
            <w:pPr>
              <w:pStyle w:val="Overskrift3"/>
            </w:pPr>
            <w:r w:rsidRPr="005F524B">
              <w:t xml:space="preserve">             </w:t>
            </w:r>
          </w:p>
        </w:tc>
      </w:tr>
      <w:tr w:rsidR="005F524B" w:rsidRPr="005F524B" w14:paraId="3A1706D1" w14:textId="77777777" w:rsidTr="000C11FA">
        <w:trPr>
          <w:trHeight w:val="300"/>
        </w:trPr>
        <w:tc>
          <w:tcPr>
            <w:tcW w:w="3880" w:type="dxa"/>
            <w:shd w:val="clear" w:color="auto" w:fill="C6D9F1" w:themeFill="text2" w:themeFillTint="33"/>
            <w:noWrap/>
            <w:hideMark/>
          </w:tcPr>
          <w:p w14:paraId="29967580" w14:textId="560D48FC" w:rsidR="005F524B" w:rsidRPr="005F524B" w:rsidRDefault="004122A3" w:rsidP="005F524B">
            <w:pPr>
              <w:pStyle w:val="Overskrift3"/>
            </w:pPr>
            <w:r>
              <w:t>Akkumuler o</w:t>
            </w:r>
            <w:r w:rsidR="005F524B" w:rsidRPr="005F524B">
              <w:t xml:space="preserve">verforbruk </w:t>
            </w:r>
          </w:p>
        </w:tc>
        <w:tc>
          <w:tcPr>
            <w:tcW w:w="3174" w:type="dxa"/>
            <w:shd w:val="clear" w:color="auto" w:fill="C6D9F1" w:themeFill="text2" w:themeFillTint="33"/>
            <w:noWrap/>
            <w:hideMark/>
          </w:tcPr>
          <w:p w14:paraId="0C267304" w14:textId="27C3618C" w:rsidR="005F524B" w:rsidRPr="005F524B" w:rsidRDefault="005F524B" w:rsidP="005F524B">
            <w:pPr>
              <w:pStyle w:val="Overskrift3"/>
            </w:pPr>
            <w:r w:rsidRPr="005F524B">
              <w:t xml:space="preserve">           1</w:t>
            </w:r>
            <w:r w:rsidR="008261D9">
              <w:t>5 158 838</w:t>
            </w:r>
            <w:r w:rsidRPr="005F524B">
              <w:t xml:space="preserve"> </w:t>
            </w:r>
          </w:p>
        </w:tc>
      </w:tr>
    </w:tbl>
    <w:p w14:paraId="6A543318" w14:textId="0D81F228" w:rsidR="00E2600B" w:rsidRPr="00E2600B" w:rsidRDefault="00E2600B" w:rsidP="005F524B"/>
    <w:p w14:paraId="66CFD01E" w14:textId="4A5D5106" w:rsidR="001C58FB" w:rsidRDefault="001C58FB" w:rsidP="00C05978">
      <w:pPr>
        <w:pStyle w:val="Overskrift3"/>
      </w:pPr>
      <w:r>
        <w:t xml:space="preserve"> </w:t>
      </w:r>
      <w:r w:rsidR="00C05978">
        <w:t>Spørsmål til diskusjon</w:t>
      </w:r>
    </w:p>
    <w:p w14:paraId="78FA352F" w14:textId="6EA2B11A" w:rsidR="00C05978" w:rsidRDefault="005F524B" w:rsidP="00C05978">
      <w:r>
        <w:t>Hovedutfordringen i budsjettet er som beskrevet over veksten i personalkostnader. Til tross for det ligger det kun inne et halvt årsverk som pt ikke er disponert. Det anses derfor ikke å være mulig å oppnå noen reduksjon av vesentlighet i personalkostnadene. Det kan være mulig å oppnå en liten reduksjon i timelønnskostnader, men det utgjør en svært begrenset del av totalkostnadene. Hvordan stiller rådet seg til å øke kostnadene noe for å svare ut de innspillene vi har fått på uløste undervisningsoppgaver for neste år?</w:t>
      </w:r>
    </w:p>
    <w:p w14:paraId="0CA094BA" w14:textId="72711546" w:rsidR="005F524B" w:rsidRDefault="005F524B" w:rsidP="00C05978">
      <w:r>
        <w:t xml:space="preserve">Driftskostnadene er i mindre grad forhåndsdisponert. Bør vi gå inn for enda strammere rammer her? </w:t>
      </w:r>
    </w:p>
    <w:p w14:paraId="3430EB91" w14:textId="77777777" w:rsidR="005F524B" w:rsidRPr="00C05978" w:rsidRDefault="005F524B" w:rsidP="00C05978"/>
    <w:sectPr w:rsidR="005F524B" w:rsidRPr="00C05978" w:rsidSect="002D5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049"/>
    <w:multiLevelType w:val="hybridMultilevel"/>
    <w:tmpl w:val="FC284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E2D0B89"/>
    <w:multiLevelType w:val="hybridMultilevel"/>
    <w:tmpl w:val="9556A02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16cid:durableId="67391342">
    <w:abstractNumId w:val="0"/>
  </w:num>
  <w:num w:numId="2" w16cid:durableId="1823081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3D"/>
    <w:rsid w:val="000C11FA"/>
    <w:rsid w:val="000E4384"/>
    <w:rsid w:val="001C58FB"/>
    <w:rsid w:val="001D6347"/>
    <w:rsid w:val="001E2918"/>
    <w:rsid w:val="0026143D"/>
    <w:rsid w:val="00275F96"/>
    <w:rsid w:val="002D534B"/>
    <w:rsid w:val="0038188F"/>
    <w:rsid w:val="00403CB3"/>
    <w:rsid w:val="004122A3"/>
    <w:rsid w:val="00433EE3"/>
    <w:rsid w:val="00533892"/>
    <w:rsid w:val="00542F66"/>
    <w:rsid w:val="0055672D"/>
    <w:rsid w:val="005C6B37"/>
    <w:rsid w:val="005E5C7F"/>
    <w:rsid w:val="005F524B"/>
    <w:rsid w:val="00610054"/>
    <w:rsid w:val="00704160"/>
    <w:rsid w:val="007828FF"/>
    <w:rsid w:val="007873BB"/>
    <w:rsid w:val="007C0FC7"/>
    <w:rsid w:val="008261D9"/>
    <w:rsid w:val="00864A60"/>
    <w:rsid w:val="0094232F"/>
    <w:rsid w:val="009C6F17"/>
    <w:rsid w:val="00A224B8"/>
    <w:rsid w:val="00A268F0"/>
    <w:rsid w:val="00A567D4"/>
    <w:rsid w:val="00A7062C"/>
    <w:rsid w:val="00AD248C"/>
    <w:rsid w:val="00BE3FEE"/>
    <w:rsid w:val="00C03C6C"/>
    <w:rsid w:val="00C05978"/>
    <w:rsid w:val="00C5411C"/>
    <w:rsid w:val="00CF4B1E"/>
    <w:rsid w:val="00D4644B"/>
    <w:rsid w:val="00DC0475"/>
    <w:rsid w:val="00DE6FA5"/>
    <w:rsid w:val="00E2600B"/>
    <w:rsid w:val="00E46265"/>
    <w:rsid w:val="00E62F38"/>
    <w:rsid w:val="00EA6021"/>
    <w:rsid w:val="00EC1757"/>
    <w:rsid w:val="00F36303"/>
    <w:rsid w:val="00FD37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88D6"/>
  <w15:docId w15:val="{8A4766C6-C6F9-43BB-B885-522B8AE2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4B"/>
  </w:style>
  <w:style w:type="paragraph" w:styleId="Overskrift1">
    <w:name w:val="heading 1"/>
    <w:basedOn w:val="Normal"/>
    <w:next w:val="Normal"/>
    <w:link w:val="Overskrift1Tegn"/>
    <w:uiPriority w:val="9"/>
    <w:qFormat/>
    <w:rsid w:val="00B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E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423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C0597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E3FEE"/>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BE3FEE"/>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542F66"/>
    <w:pPr>
      <w:ind w:left="720"/>
      <w:contextualSpacing/>
    </w:pPr>
  </w:style>
  <w:style w:type="character" w:styleId="Hyperkobling">
    <w:name w:val="Hyperlink"/>
    <w:basedOn w:val="Standardskriftforavsnitt"/>
    <w:uiPriority w:val="99"/>
    <w:unhideWhenUsed/>
    <w:rsid w:val="00433EE3"/>
    <w:rPr>
      <w:color w:val="0000FF" w:themeColor="hyperlink"/>
      <w:u w:val="single"/>
    </w:rPr>
  </w:style>
  <w:style w:type="character" w:customStyle="1" w:styleId="Overskrift3Tegn">
    <w:name w:val="Overskrift 3 Tegn"/>
    <w:basedOn w:val="Standardskriftforavsnitt"/>
    <w:link w:val="Overskrift3"/>
    <w:uiPriority w:val="9"/>
    <w:rsid w:val="0094232F"/>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rsid w:val="00C05978"/>
    <w:rPr>
      <w:rFonts w:asciiTheme="majorHAnsi" w:eastAsiaTheme="majorEastAsia" w:hAnsiTheme="majorHAnsi" w:cstheme="majorBidi"/>
      <w:i/>
      <w:iCs/>
      <w:color w:val="365F91" w:themeColor="accent1" w:themeShade="BF"/>
    </w:rPr>
  </w:style>
  <w:style w:type="table" w:styleId="Tabellrutenett">
    <w:name w:val="Table Grid"/>
    <w:basedOn w:val="Vanligtabell"/>
    <w:uiPriority w:val="59"/>
    <w:rsid w:val="005F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704160"/>
    <w:rPr>
      <w:sz w:val="16"/>
      <w:szCs w:val="16"/>
    </w:rPr>
  </w:style>
  <w:style w:type="paragraph" w:styleId="Merknadstekst">
    <w:name w:val="annotation text"/>
    <w:basedOn w:val="Normal"/>
    <w:link w:val="MerknadstekstTegn"/>
    <w:uiPriority w:val="99"/>
    <w:unhideWhenUsed/>
    <w:rsid w:val="00704160"/>
    <w:pPr>
      <w:spacing w:line="240" w:lineRule="auto"/>
    </w:pPr>
    <w:rPr>
      <w:sz w:val="20"/>
      <w:szCs w:val="20"/>
    </w:rPr>
  </w:style>
  <w:style w:type="character" w:customStyle="1" w:styleId="MerknadstekstTegn">
    <w:name w:val="Merknadstekst Tegn"/>
    <w:basedOn w:val="Standardskriftforavsnitt"/>
    <w:link w:val="Merknadstekst"/>
    <w:uiPriority w:val="99"/>
    <w:rsid w:val="00704160"/>
    <w:rPr>
      <w:sz w:val="20"/>
      <w:szCs w:val="20"/>
    </w:rPr>
  </w:style>
  <w:style w:type="paragraph" w:styleId="Kommentaremne">
    <w:name w:val="annotation subject"/>
    <w:basedOn w:val="Merknadstekst"/>
    <w:next w:val="Merknadstekst"/>
    <w:link w:val="KommentaremneTegn"/>
    <w:uiPriority w:val="99"/>
    <w:semiHidden/>
    <w:unhideWhenUsed/>
    <w:rsid w:val="00704160"/>
    <w:rPr>
      <w:b/>
      <w:bCs/>
    </w:rPr>
  </w:style>
  <w:style w:type="character" w:customStyle="1" w:styleId="KommentaremneTegn">
    <w:name w:val="Kommentaremne Tegn"/>
    <w:basedOn w:val="MerknadstekstTegn"/>
    <w:link w:val="Kommentaremne"/>
    <w:uiPriority w:val="99"/>
    <w:semiHidden/>
    <w:rsid w:val="007041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7755">
      <w:bodyDiv w:val="1"/>
      <w:marLeft w:val="0"/>
      <w:marRight w:val="0"/>
      <w:marTop w:val="0"/>
      <w:marBottom w:val="0"/>
      <w:divBdr>
        <w:top w:val="none" w:sz="0" w:space="0" w:color="auto"/>
        <w:left w:val="none" w:sz="0" w:space="0" w:color="auto"/>
        <w:bottom w:val="none" w:sz="0" w:space="0" w:color="auto"/>
        <w:right w:val="none" w:sz="0" w:space="0" w:color="auto"/>
      </w:divBdr>
    </w:div>
    <w:div w:id="14524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1281</Words>
  <Characters>6790</Characters>
  <Application>Microsoft Office Word</Application>
  <DocSecurity>0</DocSecurity>
  <Lines>56</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Tore Stokke</dc:creator>
  <cp:lastModifiedBy>Knut Tore Stokke</cp:lastModifiedBy>
  <cp:revision>3</cp:revision>
  <dcterms:created xsi:type="dcterms:W3CDTF">2023-11-24T11:27:00Z</dcterms:created>
  <dcterms:modified xsi:type="dcterms:W3CDTF">2023-11-24T11:36:00Z</dcterms:modified>
</cp:coreProperties>
</file>