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1560"/>
        <w:gridCol w:w="1800"/>
        <w:gridCol w:w="1163"/>
        <w:gridCol w:w="1098"/>
      </w:tblGrid>
      <w:tr w:rsidR="00FC4B2B" w14:paraId="525A7FCA" w14:textId="77777777" w:rsidTr="00FC4B2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FE2504" w14:textId="77777777" w:rsidR="00FC4B2B" w:rsidRPr="00FC4B2B" w:rsidRDefault="00FC4B2B">
            <w:pPr>
              <w:spacing w:after="0"/>
              <w:rPr>
                <w:rFonts w:ascii="Arial" w:hAnsi="Arial" w:cs="Arial"/>
                <w:b/>
                <w:bCs/>
                <w:sz w:val="16"/>
              </w:rPr>
            </w:pPr>
            <w:r w:rsidRPr="00FC4B2B">
              <w:rPr>
                <w:rFonts w:ascii="Arial" w:hAnsi="Arial" w:cs="Arial"/>
                <w:b/>
                <w:bCs/>
                <w:sz w:val="16"/>
              </w:rPr>
              <w:t>Rapporterende enhet: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F08B6" w14:textId="02E95760" w:rsidR="00FC4B2B" w:rsidRPr="00FC4B2B" w:rsidRDefault="00B23CB6">
            <w:pPr>
              <w:spacing w:after="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Helsam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5DE424" w14:textId="77777777" w:rsidR="00FC4B2B" w:rsidRPr="00FC4B2B" w:rsidRDefault="00FC4B2B">
            <w:pPr>
              <w:spacing w:after="0"/>
              <w:rPr>
                <w:rFonts w:ascii="Arial" w:hAnsi="Arial" w:cs="Arial"/>
                <w:b/>
                <w:bCs/>
                <w:sz w:val="16"/>
              </w:rPr>
            </w:pPr>
            <w:r w:rsidRPr="00FC4B2B">
              <w:rPr>
                <w:rFonts w:ascii="Arial" w:hAnsi="Arial" w:cs="Arial"/>
                <w:b/>
                <w:bCs/>
                <w:sz w:val="16"/>
              </w:rPr>
              <w:t>Rapportert av: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CF2E5" w14:textId="77777777" w:rsidR="00FC4B2B" w:rsidRDefault="00B23CB6">
            <w:pPr>
              <w:spacing w:after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Elin Olaug Rosvold</w:t>
            </w:r>
          </w:p>
          <w:p w14:paraId="4A06117F" w14:textId="6B1B652B" w:rsidR="00B23CB6" w:rsidRPr="00FC4B2B" w:rsidRDefault="00B23CB6">
            <w:pPr>
              <w:spacing w:after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Knut Tore Stokke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DA0C80" w14:textId="77777777" w:rsidR="00FC4B2B" w:rsidRPr="00FC4B2B" w:rsidRDefault="00FC4B2B">
            <w:pPr>
              <w:spacing w:after="0"/>
              <w:rPr>
                <w:rFonts w:ascii="Arial" w:hAnsi="Arial" w:cs="Arial"/>
                <w:b/>
                <w:bCs/>
                <w:sz w:val="16"/>
              </w:rPr>
            </w:pPr>
            <w:r w:rsidRPr="00FC4B2B">
              <w:rPr>
                <w:rFonts w:ascii="Arial" w:hAnsi="Arial" w:cs="Arial"/>
                <w:b/>
                <w:bCs/>
                <w:sz w:val="16"/>
              </w:rPr>
              <w:t xml:space="preserve">Periode: </w:t>
            </w:r>
          </w:p>
          <w:p w14:paraId="791E82C2" w14:textId="20CA64D0" w:rsidR="00FC4B2B" w:rsidRPr="00FC4B2B" w:rsidRDefault="00FC4B2B">
            <w:pPr>
              <w:spacing w:after="0"/>
              <w:rPr>
                <w:rFonts w:ascii="Arial" w:hAnsi="Arial" w:cs="Arial"/>
                <w:b/>
                <w:bCs/>
                <w:sz w:val="16"/>
              </w:rPr>
            </w:pPr>
            <w:r w:rsidRPr="00FC4B2B">
              <w:rPr>
                <w:rFonts w:ascii="Arial" w:hAnsi="Arial" w:cs="Arial"/>
                <w:b/>
                <w:bCs/>
                <w:sz w:val="16"/>
              </w:rPr>
              <w:t>T1 - 202</w:t>
            </w: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B3AC6" w14:textId="77777777" w:rsidR="00FC4B2B" w:rsidRDefault="00FC4B2B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</w:tr>
    </w:tbl>
    <w:p w14:paraId="59702352" w14:textId="21D6964E" w:rsidR="00FC4B2B" w:rsidRPr="00FC4B2B" w:rsidRDefault="00B23CB6" w:rsidP="00B23CB6">
      <w:pPr>
        <w:pStyle w:val="Overskrift1"/>
        <w:rPr>
          <w:rFonts w:cstheme="minorHAnsi"/>
        </w:rPr>
      </w:pPr>
      <w:proofErr w:type="spellStart"/>
      <w:r>
        <w:rPr>
          <w:rFonts w:ascii="Arial" w:hAnsi="Arial" w:cs="Arial"/>
        </w:rPr>
        <w:t>Ledelseksommentar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Helsam</w:t>
      </w:r>
      <w:proofErr w:type="spellEnd"/>
      <w:r>
        <w:rPr>
          <w:rFonts w:ascii="Arial" w:hAnsi="Arial" w:cs="Arial"/>
        </w:rPr>
        <w:t xml:space="preserve"> T1 2024</w:t>
      </w:r>
    </w:p>
    <w:p w14:paraId="733BB056" w14:textId="66701ED6" w:rsidR="00B23CB6" w:rsidRDefault="00B23CB6" w:rsidP="00FC4B2B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Første tertial har ved </w:t>
      </w:r>
      <w:proofErr w:type="spellStart"/>
      <w:r>
        <w:rPr>
          <w:rFonts w:ascii="Georgia" w:hAnsi="Georgia"/>
          <w:sz w:val="20"/>
        </w:rPr>
        <w:t>Helsam</w:t>
      </w:r>
      <w:proofErr w:type="spellEnd"/>
      <w:r>
        <w:rPr>
          <w:rFonts w:ascii="Georgia" w:hAnsi="Georgia"/>
          <w:sz w:val="20"/>
        </w:rPr>
        <w:t xml:space="preserve"> vært preget av redusert ledelseskapasitet. Vi har som en konsekvens av dette hatt et strengt </w:t>
      </w:r>
      <w:proofErr w:type="gramStart"/>
      <w:r>
        <w:rPr>
          <w:rFonts w:ascii="Georgia" w:hAnsi="Georgia"/>
          <w:sz w:val="20"/>
        </w:rPr>
        <w:t>fokus</w:t>
      </w:r>
      <w:proofErr w:type="gramEnd"/>
      <w:r>
        <w:rPr>
          <w:rFonts w:ascii="Georgia" w:hAnsi="Georgia"/>
          <w:sz w:val="20"/>
        </w:rPr>
        <w:t xml:space="preserve"> på ivaretakelse av løpende driftsoppgaver og måttet utsette noe planlagt aktivitet, hvorav planlagt arbeid med ny strategisk plan og tilhørende årsplan er det mest sentrale. </w:t>
      </w:r>
    </w:p>
    <w:p w14:paraId="40131E4B" w14:textId="77777777" w:rsidR="00B23CB6" w:rsidRDefault="00B23CB6" w:rsidP="00FC4B2B">
      <w:pPr>
        <w:spacing w:after="0"/>
        <w:rPr>
          <w:rFonts w:ascii="Georgia" w:hAnsi="Georgia"/>
          <w:sz w:val="20"/>
        </w:rPr>
      </w:pPr>
    </w:p>
    <w:p w14:paraId="7F7BFFDF" w14:textId="77777777" w:rsidR="00122304" w:rsidRDefault="00B23CB6" w:rsidP="00FC4B2B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Oppfølgingen av instituttets økonomi har hatt høy prioritet. Budsjettet for inneværende år viser et stort isolert merforbruk som vi dessverre ikke ser muligheter for å redusere vesentlig på kort sikt. </w:t>
      </w:r>
    </w:p>
    <w:p w14:paraId="40EE42B2" w14:textId="77777777" w:rsidR="00122304" w:rsidRDefault="00122304" w:rsidP="00FC4B2B">
      <w:pPr>
        <w:spacing w:after="0"/>
        <w:rPr>
          <w:rFonts w:ascii="Georgia" w:hAnsi="Georgia"/>
          <w:sz w:val="20"/>
        </w:rPr>
      </w:pPr>
    </w:p>
    <w:p w14:paraId="202DA05A" w14:textId="77777777" w:rsidR="00122304" w:rsidRDefault="00B23CB6" w:rsidP="00FC4B2B">
      <w:pPr>
        <w:spacing w:after="0"/>
        <w:rPr>
          <w:rFonts w:ascii="Georgia" w:hAnsi="Georgia"/>
          <w:sz w:val="20"/>
        </w:rPr>
      </w:pPr>
      <w:proofErr w:type="spellStart"/>
      <w:r>
        <w:rPr>
          <w:rFonts w:ascii="Georgia" w:hAnsi="Georgia"/>
          <w:sz w:val="20"/>
        </w:rPr>
        <w:t>Helsam</w:t>
      </w:r>
      <w:proofErr w:type="spellEnd"/>
      <w:r>
        <w:rPr>
          <w:rFonts w:ascii="Georgia" w:hAnsi="Georgia"/>
          <w:sz w:val="20"/>
        </w:rPr>
        <w:t xml:space="preserve"> har oppdatert prognosen for bevilgningsøkonomien i første tertial med endringer i tildelingen som ble kjent etter at budsjettet var lagt. De viktigste endringene er et kutt i tildelingen begrunnet i innføring av studieavgift for studenter utenfor EØS og tilhørende forventninger til inntekter </w:t>
      </w:r>
      <w:r w:rsidR="00D400EE">
        <w:rPr>
          <w:rFonts w:ascii="Georgia" w:hAnsi="Georgia"/>
          <w:sz w:val="20"/>
        </w:rPr>
        <w:t xml:space="preserve">knyttet til studieavgiften. </w:t>
      </w:r>
      <w:r w:rsidR="00122304">
        <w:rPr>
          <w:rFonts w:ascii="Georgia" w:hAnsi="Georgia"/>
          <w:sz w:val="20"/>
        </w:rPr>
        <w:t>Inntektsvurderingen er i tillegg noe oppjustert for å ta høyde for øremerkede tilsettinger som vi forventer at vil komme i løpet av året. I tillegg er det lagt inn inntekter og tilhørende driftskostnader i tilknytning til avslutning av oppdragsvirksomhet.</w:t>
      </w:r>
    </w:p>
    <w:p w14:paraId="526D756B" w14:textId="77777777" w:rsidR="00122304" w:rsidRDefault="00122304" w:rsidP="00FC4B2B">
      <w:pPr>
        <w:spacing w:after="0"/>
        <w:rPr>
          <w:rFonts w:ascii="Georgia" w:hAnsi="Georgia"/>
          <w:sz w:val="20"/>
        </w:rPr>
      </w:pPr>
    </w:p>
    <w:p w14:paraId="6716C0E6" w14:textId="1060755C" w:rsidR="00122304" w:rsidRDefault="00122304" w:rsidP="00FC4B2B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Isolert resultat i prognosen avviker ikke vesentlig fra budsjettet, men det akkumulerte resultatet er justert fordi vi gikk ut av 2023 med et merforbruk på 1,</w:t>
      </w:r>
      <w:r w:rsidR="00BB7D2A">
        <w:rPr>
          <w:rFonts w:ascii="Georgia" w:hAnsi="Georgia"/>
          <w:sz w:val="20"/>
        </w:rPr>
        <w:t>4</w:t>
      </w:r>
      <w:r>
        <w:rPr>
          <w:rFonts w:ascii="Georgia" w:hAnsi="Georgia"/>
          <w:sz w:val="20"/>
        </w:rPr>
        <w:t xml:space="preserve"> mill. </w:t>
      </w:r>
      <w:r w:rsidR="00BB7D2A">
        <w:rPr>
          <w:rFonts w:ascii="Georgia" w:hAnsi="Georgia"/>
          <w:sz w:val="20"/>
        </w:rPr>
        <w:t>Vi forventer et akkumulert merforbruk ved utgangen av året på 13,5 mill. I underkant av 90% av kostnadene i bevilgningsøkonomien er personalkostnader hvorav alt bortsett fra et halvt årsverk er bundet opp i allerede inngåtte arbeidsavtaler. Handlingsrommet for å redusere merforbruket er derfor svært begrenset på kort sikt. De viktigste usikkerhetsmomentene i prognosen er lønnsvekst</w:t>
      </w:r>
      <w:r w:rsidR="0090638B">
        <w:rPr>
          <w:rFonts w:ascii="Georgia" w:hAnsi="Georgia"/>
          <w:sz w:val="20"/>
        </w:rPr>
        <w:t xml:space="preserve"> og</w:t>
      </w:r>
      <w:r w:rsidR="00BB7D2A">
        <w:rPr>
          <w:rFonts w:ascii="Georgia" w:hAnsi="Georgia"/>
          <w:sz w:val="20"/>
        </w:rPr>
        <w:t xml:space="preserve"> </w:t>
      </w:r>
      <w:r w:rsidR="0090638B">
        <w:rPr>
          <w:rFonts w:ascii="Georgia" w:hAnsi="Georgia"/>
          <w:sz w:val="20"/>
        </w:rPr>
        <w:t xml:space="preserve">forventede ekstrakostnader knyttet til forlengelser av stipendiater og </w:t>
      </w:r>
      <w:proofErr w:type="spellStart"/>
      <w:r w:rsidR="0090638B">
        <w:rPr>
          <w:rFonts w:ascii="Georgia" w:hAnsi="Georgia"/>
          <w:sz w:val="20"/>
        </w:rPr>
        <w:t>postdoc</w:t>
      </w:r>
      <w:proofErr w:type="spellEnd"/>
      <w:r w:rsidR="0090638B">
        <w:rPr>
          <w:rFonts w:ascii="Georgia" w:hAnsi="Georgia"/>
          <w:sz w:val="20"/>
        </w:rPr>
        <w:t xml:space="preserve"> som følge av korttidsfravær. Prognosen er basert på sentralt angitt forventning om pris- og lønnsvekst, men det er grunn til å forvente at lønnsoppgjøret blir høyere enn antatt i prognosen. Etter </w:t>
      </w:r>
      <w:proofErr w:type="spellStart"/>
      <w:r w:rsidR="0090638B">
        <w:rPr>
          <w:rFonts w:ascii="Georgia" w:hAnsi="Georgia"/>
          <w:sz w:val="20"/>
        </w:rPr>
        <w:t>reglendring</w:t>
      </w:r>
      <w:proofErr w:type="spellEnd"/>
      <w:r w:rsidR="0090638B">
        <w:rPr>
          <w:rFonts w:ascii="Georgia" w:hAnsi="Georgia"/>
          <w:sz w:val="20"/>
        </w:rPr>
        <w:t xml:space="preserve"> i fjor sommer får stipendiater og </w:t>
      </w:r>
      <w:proofErr w:type="spellStart"/>
      <w:r w:rsidR="0090638B">
        <w:rPr>
          <w:rFonts w:ascii="Georgia" w:hAnsi="Georgia"/>
          <w:sz w:val="20"/>
        </w:rPr>
        <w:t>postdoc</w:t>
      </w:r>
      <w:proofErr w:type="spellEnd"/>
      <w:r w:rsidR="0090638B">
        <w:rPr>
          <w:rFonts w:ascii="Georgia" w:hAnsi="Georgia"/>
          <w:sz w:val="20"/>
        </w:rPr>
        <w:t xml:space="preserve"> forlengelse for korttidsfravær knyttet til syke barn og egenmeldt fravær. Det vil dels gi seg uttrykk i form av økte personalkostnader i bevilgningsøkonomien og dels gjennom redusert nettobidrag som følge av økte kostnader i BOA-virksomheten. Vi mangler erfaringsgrunnlag for å kunne gi et godt anslag på hvor stor effekten av dette vil bli. </w:t>
      </w:r>
    </w:p>
    <w:p w14:paraId="57B7F443" w14:textId="77777777" w:rsidR="00BB7D2A" w:rsidRDefault="00BB7D2A" w:rsidP="00FC4B2B">
      <w:pPr>
        <w:spacing w:after="0"/>
        <w:rPr>
          <w:rFonts w:ascii="Georgia" w:hAnsi="Georgia"/>
          <w:sz w:val="20"/>
        </w:rPr>
      </w:pPr>
    </w:p>
    <w:p w14:paraId="1597FE50" w14:textId="716D2A4F" w:rsidR="00BB7D2A" w:rsidRDefault="00BB7D2A" w:rsidP="00FC4B2B">
      <w:pPr>
        <w:spacing w:after="0"/>
        <w:rPr>
          <w:rFonts w:ascii="Georgia" w:hAnsi="Georgia"/>
          <w:sz w:val="20"/>
        </w:rPr>
      </w:pPr>
      <w:proofErr w:type="spellStart"/>
      <w:r>
        <w:rPr>
          <w:rFonts w:ascii="Georgia" w:hAnsi="Georgia"/>
          <w:sz w:val="20"/>
        </w:rPr>
        <w:t>Helsams</w:t>
      </w:r>
      <w:proofErr w:type="spellEnd"/>
      <w:r>
        <w:rPr>
          <w:rFonts w:ascii="Georgia" w:hAnsi="Georgia"/>
          <w:sz w:val="20"/>
        </w:rPr>
        <w:t xml:space="preserve"> langtidsprognose viser mulighet for å oppnå økonomisk balanse gjennom ikke å erstatte avganger og ikke å opprettholde måltall for rekrutteringsstillinger i langtidsperioden. Når UiO i sin reviderte fordelingsmodell legger til grunn at finansiering av rekrutteringsstillinger skal fortsette å være øremerket vil økonomisk balanse trolig ikke være mulig å oppnå kun gjennom naturlig avgang. </w:t>
      </w:r>
      <w:proofErr w:type="spellStart"/>
      <w:r w:rsidR="0090638B">
        <w:rPr>
          <w:rFonts w:ascii="Georgia" w:hAnsi="Georgia"/>
          <w:sz w:val="20"/>
        </w:rPr>
        <w:t>Helsam</w:t>
      </w:r>
      <w:proofErr w:type="spellEnd"/>
      <w:r w:rsidR="0090638B">
        <w:rPr>
          <w:rFonts w:ascii="Georgia" w:hAnsi="Georgia"/>
          <w:sz w:val="20"/>
        </w:rPr>
        <w:t xml:space="preserve"> forbereder ny langtidsprognose i forbindelse med T2-rapporteringen. </w:t>
      </w:r>
    </w:p>
    <w:p w14:paraId="1B0E1415" w14:textId="77777777" w:rsidR="0090638B" w:rsidRDefault="0090638B" w:rsidP="00FC4B2B">
      <w:pPr>
        <w:spacing w:after="0"/>
        <w:rPr>
          <w:rFonts w:ascii="Georgia" w:hAnsi="Georgia"/>
          <w:sz w:val="20"/>
        </w:rPr>
      </w:pPr>
    </w:p>
    <w:p w14:paraId="378FB7B0" w14:textId="2BC8828B" w:rsidR="0090638B" w:rsidRDefault="0090638B" w:rsidP="00FC4B2B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 første tertial er det jobbet med langs to ulike spor med å se på </w:t>
      </w:r>
      <w:proofErr w:type="spellStart"/>
      <w:r>
        <w:rPr>
          <w:rFonts w:ascii="Georgia" w:hAnsi="Georgia"/>
          <w:sz w:val="20"/>
        </w:rPr>
        <w:t>utdaningsporteføljen</w:t>
      </w:r>
      <w:proofErr w:type="spellEnd"/>
      <w:r>
        <w:rPr>
          <w:rFonts w:ascii="Georgia" w:hAnsi="Georgia"/>
          <w:sz w:val="20"/>
        </w:rPr>
        <w:t xml:space="preserve"> ved </w:t>
      </w:r>
      <w:proofErr w:type="spellStart"/>
      <w:r>
        <w:rPr>
          <w:rFonts w:ascii="Georgia" w:hAnsi="Georgia"/>
          <w:sz w:val="20"/>
        </w:rPr>
        <w:t>Helsam</w:t>
      </w:r>
      <w:proofErr w:type="spellEnd"/>
      <w:r>
        <w:rPr>
          <w:rFonts w:ascii="Georgia" w:hAnsi="Georgia"/>
          <w:sz w:val="20"/>
        </w:rPr>
        <w:t>. Det ene prosjektet har som mål å se på de økonomiske effektene av kutt i utdanningstilbudet for å bedre den økonomiske situasjonen, mens det andre prosjektet dels ser på mulige synergieffekter som kan hentes ut</w:t>
      </w:r>
      <w:r w:rsidR="006B2B1B">
        <w:rPr>
          <w:rFonts w:ascii="Georgia" w:hAnsi="Georgia"/>
          <w:sz w:val="20"/>
        </w:rPr>
        <w:t xml:space="preserve"> gjennom bedre samordning av programmene, dels ser på potensialet for å øke inntekter gjennom økt aktivitet og dels ser på effekten av kutt i tilbudet. Begge prosjektene vil avgi rapporter før sommeren, og disse vil sammen med informasjon om endringer i fordelingsmodellene utgjøre det viktigste grunnlaget for langsiktige innsparingstiltak. </w:t>
      </w:r>
    </w:p>
    <w:p w14:paraId="32BD1B8B" w14:textId="77777777" w:rsidR="00FC4B2B" w:rsidRPr="00FC4B2B" w:rsidRDefault="00FC4B2B" w:rsidP="00FC4B2B">
      <w:pPr>
        <w:ind w:left="360"/>
        <w:rPr>
          <w:rFonts w:cstheme="minorHAnsi"/>
        </w:rPr>
      </w:pPr>
    </w:p>
    <w:p w14:paraId="31E66B55" w14:textId="1B2C12CB" w:rsidR="0053355A" w:rsidRDefault="00FC4B2B" w:rsidP="00122304">
      <w:pPr>
        <w:ind w:left="360"/>
        <w:rPr>
          <w:rFonts w:cstheme="minorHAnsi"/>
        </w:rPr>
      </w:pPr>
      <w:r w:rsidRPr="00FC4B2B">
        <w:rPr>
          <w:rFonts w:cstheme="minorHAnsi"/>
        </w:rPr>
        <w:t>Dato:</w:t>
      </w:r>
      <w:r w:rsidR="00122304">
        <w:rPr>
          <w:rFonts w:cstheme="minorHAnsi"/>
        </w:rPr>
        <w:t xml:space="preserve"> 16.5.24</w:t>
      </w:r>
    </w:p>
    <w:p w14:paraId="2D3801A4" w14:textId="77777777" w:rsidR="00122304" w:rsidRDefault="00122304" w:rsidP="00122304">
      <w:pPr>
        <w:ind w:left="360"/>
        <w:rPr>
          <w:rFonts w:cstheme="minorHAnsi"/>
        </w:rPr>
      </w:pPr>
    </w:p>
    <w:p w14:paraId="1A04714F" w14:textId="6AC1E91D" w:rsidR="00122304" w:rsidRPr="00122304" w:rsidRDefault="00122304" w:rsidP="00122304">
      <w:pPr>
        <w:ind w:left="360"/>
        <w:rPr>
          <w:rFonts w:cstheme="minorHAnsi"/>
        </w:rPr>
      </w:pPr>
      <w:r w:rsidRPr="00122304">
        <w:rPr>
          <w:rFonts w:cstheme="minorHAnsi"/>
        </w:rPr>
        <w:t>Elin O. Rosvold</w:t>
      </w:r>
      <w:r w:rsidRPr="00122304">
        <w:rPr>
          <w:rFonts w:cstheme="minorHAnsi"/>
        </w:rPr>
        <w:tab/>
      </w:r>
      <w:r w:rsidRPr="00122304">
        <w:rPr>
          <w:rFonts w:cstheme="minorHAnsi"/>
        </w:rPr>
        <w:tab/>
      </w:r>
      <w:r w:rsidRPr="00122304">
        <w:rPr>
          <w:rFonts w:cstheme="minorHAnsi"/>
        </w:rPr>
        <w:tab/>
      </w:r>
      <w:r w:rsidRPr="00122304">
        <w:rPr>
          <w:rFonts w:cstheme="minorHAnsi"/>
        </w:rPr>
        <w:tab/>
      </w:r>
      <w:r w:rsidRPr="00122304">
        <w:rPr>
          <w:rFonts w:cstheme="minorHAnsi"/>
        </w:rPr>
        <w:tab/>
      </w:r>
      <w:r w:rsidRPr="00122304">
        <w:rPr>
          <w:rFonts w:cstheme="minorHAnsi"/>
        </w:rPr>
        <w:tab/>
      </w:r>
      <w:r w:rsidRPr="00122304">
        <w:rPr>
          <w:rFonts w:cstheme="minorHAnsi"/>
        </w:rPr>
        <w:tab/>
        <w:t>Knut Tore Sto</w:t>
      </w:r>
      <w:r>
        <w:rPr>
          <w:rFonts w:cstheme="minorHAnsi"/>
        </w:rPr>
        <w:t>kke</w:t>
      </w:r>
      <w:r>
        <w:rPr>
          <w:rFonts w:cstheme="minorHAnsi"/>
        </w:rPr>
        <w:br/>
        <w:t>instituttleder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administrasjonssjef</w:t>
      </w:r>
    </w:p>
    <w:sectPr w:rsidR="00122304" w:rsidRPr="00122304" w:rsidSect="003551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0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3AD4" w14:textId="77777777" w:rsidR="000A131E" w:rsidRDefault="000A131E" w:rsidP="00B40445">
      <w:pPr>
        <w:spacing w:after="0"/>
      </w:pPr>
      <w:r>
        <w:separator/>
      </w:r>
    </w:p>
  </w:endnote>
  <w:endnote w:type="continuationSeparator" w:id="0">
    <w:p w14:paraId="64C41F55" w14:textId="77777777" w:rsidR="000A131E" w:rsidRDefault="000A131E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C062" w14:textId="77777777" w:rsidR="00E13740" w:rsidRDefault="00E1374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834243"/>
      <w:docPartObj>
        <w:docPartGallery w:val="Page Numbers (Bottom of Page)"/>
        <w:docPartUnique/>
      </w:docPartObj>
    </w:sdtPr>
    <w:sdtEndPr/>
    <w:sdtContent>
      <w:p w14:paraId="025B4F44" w14:textId="0932B491" w:rsidR="0053355A" w:rsidRDefault="005335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7B4B0E" w14:textId="77777777" w:rsidR="0053355A" w:rsidRDefault="0053355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9A62" w14:textId="77777777" w:rsidR="00E13740" w:rsidRDefault="00E137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D73C" w14:textId="77777777" w:rsidR="000A131E" w:rsidRDefault="000A131E" w:rsidP="00B40445">
      <w:pPr>
        <w:spacing w:after="0"/>
      </w:pPr>
      <w:r>
        <w:separator/>
      </w:r>
    </w:p>
  </w:footnote>
  <w:footnote w:type="continuationSeparator" w:id="0">
    <w:p w14:paraId="23877582" w14:textId="77777777" w:rsidR="000A131E" w:rsidRDefault="000A131E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513D" w14:textId="77777777" w:rsidR="00E13740" w:rsidRDefault="00E1374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0AF5" w14:textId="2B083347" w:rsidR="00B40445" w:rsidRDefault="00E13740">
    <w:pPr>
      <w:pStyle w:val="Topptekst"/>
    </w:pPr>
    <w:sdt>
      <w:sdtPr>
        <w:id w:val="-381180402"/>
        <w:docPartObj>
          <w:docPartGallery w:val="Watermarks"/>
          <w:docPartUnique/>
        </w:docPartObj>
      </w:sdtPr>
      <w:sdtContent>
        <w:r>
          <w:pict w14:anchorId="5AA877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2D155D" w:rsidRPr="00B40445">
      <w:rPr>
        <w:noProof/>
      </w:rPr>
      <w:drawing>
        <wp:anchor distT="0" distB="0" distL="114300" distR="114300" simplePos="0" relativeHeight="251659264" behindDoc="1" locked="0" layoutInCell="1" allowOverlap="1" wp14:anchorId="3573CCD0" wp14:editId="368515CA">
          <wp:simplePos x="0" y="0"/>
          <wp:positionH relativeFrom="page">
            <wp:posOffset>367386</wp:posOffset>
          </wp:positionH>
          <wp:positionV relativeFrom="page">
            <wp:posOffset>358775</wp:posOffset>
          </wp:positionV>
          <wp:extent cx="2854325" cy="725170"/>
          <wp:effectExtent l="0" t="0" r="3175" b="0"/>
          <wp:wrapNone/>
          <wp:docPr id="27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E853" w14:textId="77777777" w:rsidR="00E13740" w:rsidRDefault="00E1374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1E"/>
    <w:rsid w:val="000A131E"/>
    <w:rsid w:val="00122304"/>
    <w:rsid w:val="0012409B"/>
    <w:rsid w:val="001C06E8"/>
    <w:rsid w:val="001E486D"/>
    <w:rsid w:val="002D155D"/>
    <w:rsid w:val="002E2A5D"/>
    <w:rsid w:val="00301FF9"/>
    <w:rsid w:val="003125A0"/>
    <w:rsid w:val="003551A9"/>
    <w:rsid w:val="00355EE8"/>
    <w:rsid w:val="00395E70"/>
    <w:rsid w:val="00434B54"/>
    <w:rsid w:val="004B0BF1"/>
    <w:rsid w:val="004F5DE9"/>
    <w:rsid w:val="004F7A13"/>
    <w:rsid w:val="00507968"/>
    <w:rsid w:val="0053355A"/>
    <w:rsid w:val="006B2B1B"/>
    <w:rsid w:val="00774589"/>
    <w:rsid w:val="007B38DD"/>
    <w:rsid w:val="00867DE8"/>
    <w:rsid w:val="0090638B"/>
    <w:rsid w:val="00954C55"/>
    <w:rsid w:val="009D0116"/>
    <w:rsid w:val="00A05EFF"/>
    <w:rsid w:val="00AC4083"/>
    <w:rsid w:val="00AE1B2D"/>
    <w:rsid w:val="00B12C2A"/>
    <w:rsid w:val="00B23CB6"/>
    <w:rsid w:val="00B40445"/>
    <w:rsid w:val="00B5600F"/>
    <w:rsid w:val="00BB7D2A"/>
    <w:rsid w:val="00BD1BA1"/>
    <w:rsid w:val="00BE7194"/>
    <w:rsid w:val="00D147E1"/>
    <w:rsid w:val="00D177C3"/>
    <w:rsid w:val="00D400EE"/>
    <w:rsid w:val="00DB4262"/>
    <w:rsid w:val="00DB70FC"/>
    <w:rsid w:val="00E13740"/>
    <w:rsid w:val="00E1634D"/>
    <w:rsid w:val="00E43EF5"/>
    <w:rsid w:val="00E47FAC"/>
    <w:rsid w:val="00E82534"/>
    <w:rsid w:val="00EE790A"/>
    <w:rsid w:val="00F0595C"/>
    <w:rsid w:val="00F650E1"/>
    <w:rsid w:val="00F94737"/>
    <w:rsid w:val="00FC4B2B"/>
    <w:rsid w:val="00FC5CB1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D00C7"/>
  <w15:chartTrackingRefBased/>
  <w15:docId w15:val="{0D06BBAC-F252-4C1C-AC66-015744AA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434B54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43EF5"/>
  </w:style>
  <w:style w:type="paragraph" w:styleId="Bunntekst">
    <w:name w:val="footer"/>
    <w:basedOn w:val="Normal"/>
    <w:link w:val="BunntekstTegn"/>
    <w:uiPriority w:val="99"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E43EF5"/>
  </w:style>
  <w:style w:type="table" w:styleId="Tabellrutenett">
    <w:name w:val="Table Grid"/>
    <w:basedOn w:val="Vanligtabel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E2A5D"/>
    <w:rPr>
      <w:color w:val="aut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ersgs\Downloads\mal-generelt-notat-bokmal%20(10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4" ma:contentTypeDescription="Create a new document." ma:contentTypeScope="" ma:versionID="4861cb06711c43ae5b06507c0d33fa01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76dbc1fb8e9648f94ba0d75529040bc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Enhet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customXml/itemProps2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C6610-6C99-4CDA-B797-4687BAAF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5C48B-CB0D-47E0-9FC7-C7C9FE765157}">
  <ds:schemaRefs/>
</ds:datastoreItem>
</file>

<file path=customXml/itemProps5.xml><?xml version="1.0" encoding="utf-8"?>
<ds:datastoreItem xmlns:ds="http://schemas.openxmlformats.org/officeDocument/2006/customXml" ds:itemID="{4EDB9FE8-8E33-4CA5-A064-6BD8CE6B512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mal-generelt-notat-bokmal (10)</Template>
  <TotalTime>45</TotalTime>
  <Pages>1</Pages>
  <Words>583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Gjærum Stensrud</dc:creator>
  <cp:keywords/>
  <dc:description/>
  <cp:lastModifiedBy>Knut Tore Stokke</cp:lastModifiedBy>
  <cp:revision>5</cp:revision>
  <dcterms:created xsi:type="dcterms:W3CDTF">2024-05-03T05:44:00Z</dcterms:created>
  <dcterms:modified xsi:type="dcterms:W3CDTF">2024-05-03T07:50:00Z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