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7"/>
        <w:gridCol w:w="1560"/>
        <w:gridCol w:w="1800"/>
        <w:gridCol w:w="1163"/>
        <w:gridCol w:w="1098"/>
      </w:tblGrid>
      <w:tr w:rsidR="000D718B" w:rsidRPr="00866FA5" w:rsidTr="0017688F">
        <w:tc>
          <w:tcPr>
            <w:tcW w:w="3261" w:type="dxa"/>
          </w:tcPr>
          <w:p w:rsidR="000D718B" w:rsidRPr="00866FA5" w:rsidRDefault="0017688F" w:rsidP="00DC3BCB">
            <w:pPr>
              <w:spacing w:line="276" w:lineRule="auto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17688F">
              <w:rPr>
                <w:rFonts w:ascii="Georgia" w:hAnsi="Georgia"/>
                <w:b/>
                <w:bCs/>
                <w:color w:val="4F6228" w:themeColor="accent3" w:themeShade="80"/>
                <w:sz w:val="16"/>
              </w:rPr>
              <w:t>Institutt for medisinske basalfag</w:t>
            </w:r>
          </w:p>
        </w:tc>
        <w:tc>
          <w:tcPr>
            <w:tcW w:w="687" w:type="dxa"/>
          </w:tcPr>
          <w:p w:rsidR="000D718B" w:rsidRPr="00866FA5" w:rsidRDefault="000D718B" w:rsidP="00DC3BCB">
            <w:pPr>
              <w:spacing w:line="276" w:lineRule="auto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:rsidR="000D718B" w:rsidRPr="00866FA5" w:rsidRDefault="000D718B" w:rsidP="00DC3BCB">
            <w:pPr>
              <w:spacing w:line="276" w:lineRule="auto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800" w:type="dxa"/>
          </w:tcPr>
          <w:p w:rsidR="000D718B" w:rsidRPr="00866FA5" w:rsidRDefault="000D718B" w:rsidP="00DC3BCB">
            <w:pPr>
              <w:spacing w:line="276" w:lineRule="auto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0D718B" w:rsidRPr="00866FA5" w:rsidRDefault="000D718B" w:rsidP="00DC3BCB">
            <w:pPr>
              <w:spacing w:line="276" w:lineRule="auto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098" w:type="dxa"/>
          </w:tcPr>
          <w:p w:rsidR="000D718B" w:rsidRPr="00866FA5" w:rsidRDefault="000D718B" w:rsidP="00DC3BCB">
            <w:pPr>
              <w:spacing w:line="276" w:lineRule="auto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0D718B" w:rsidRPr="0017688F" w:rsidRDefault="0017688F" w:rsidP="00DC3BCB">
      <w:pPr>
        <w:pStyle w:val="Heading1"/>
        <w:spacing w:before="240"/>
        <w:rPr>
          <w:rFonts w:ascii="Georgia" w:hAnsi="Georgia"/>
          <w:color w:val="4F6228" w:themeColor="accent3" w:themeShade="80"/>
          <w:lang w:val="nb-NO"/>
        </w:rPr>
      </w:pPr>
      <w:r>
        <w:rPr>
          <w:rFonts w:ascii="Georgia" w:hAnsi="Georgia"/>
          <w:color w:val="4F6228" w:themeColor="accent3" w:themeShade="80"/>
          <w:lang w:val="nb-NO"/>
        </w:rPr>
        <w:t>Å</w:t>
      </w:r>
      <w:r w:rsidRPr="0017688F">
        <w:rPr>
          <w:rFonts w:ascii="Georgia" w:hAnsi="Georgia"/>
          <w:color w:val="4F6228" w:themeColor="accent3" w:themeShade="80"/>
          <w:lang w:val="nb-NO"/>
        </w:rPr>
        <w:t>rsregnskap</w:t>
      </w:r>
      <w:r>
        <w:rPr>
          <w:rFonts w:ascii="Georgia" w:hAnsi="Georgia"/>
          <w:color w:val="4F6228" w:themeColor="accent3" w:themeShade="80"/>
          <w:lang w:val="nb-NO"/>
        </w:rPr>
        <w:t>srapport</w:t>
      </w:r>
      <w:r w:rsidRPr="0017688F">
        <w:rPr>
          <w:rFonts w:ascii="Georgia" w:hAnsi="Georgia"/>
          <w:color w:val="4F6228" w:themeColor="accent3" w:themeShade="80"/>
          <w:lang w:val="nb-NO"/>
        </w:rPr>
        <w:t xml:space="preserve"> 2021 IMB</w:t>
      </w:r>
      <w:r w:rsidR="00C41B5E" w:rsidRPr="0017688F">
        <w:rPr>
          <w:rFonts w:ascii="Georgia" w:hAnsi="Georgia"/>
          <w:color w:val="4F6228" w:themeColor="accent3" w:themeShade="80"/>
          <w:lang w:val="nb-NO"/>
        </w:rPr>
        <w:t xml:space="preserve"> </w:t>
      </w:r>
    </w:p>
    <w:p w:rsidR="00F1662F" w:rsidRPr="0017688F" w:rsidRDefault="00A97E9D" w:rsidP="00DC3BCB">
      <w:pPr>
        <w:pStyle w:val="Heading3"/>
        <w:spacing w:line="276" w:lineRule="auto"/>
        <w:rPr>
          <w:rFonts w:ascii="Georgia" w:hAnsi="Georgia"/>
          <w:color w:val="76923C" w:themeColor="accent3" w:themeShade="BF"/>
          <w:lang w:val="da-DK"/>
        </w:rPr>
      </w:pPr>
      <w:proofErr w:type="spellStart"/>
      <w:r w:rsidRPr="0017688F">
        <w:rPr>
          <w:rFonts w:ascii="Georgia" w:hAnsi="Georgia"/>
          <w:color w:val="76923C" w:themeColor="accent3" w:themeShade="BF"/>
          <w:lang w:val="da-DK"/>
        </w:rPr>
        <w:t>Bevilgningsfinansiert</w:t>
      </w:r>
      <w:proofErr w:type="spellEnd"/>
      <w:r w:rsidRPr="0017688F">
        <w:rPr>
          <w:rFonts w:ascii="Georgia" w:hAnsi="Georgia"/>
          <w:color w:val="76923C" w:themeColor="accent3" w:themeShade="BF"/>
          <w:lang w:val="da-DK"/>
        </w:rPr>
        <w:t xml:space="preserve"> </w:t>
      </w:r>
      <w:proofErr w:type="spellStart"/>
      <w:r w:rsidRPr="0017688F">
        <w:rPr>
          <w:rFonts w:ascii="Georgia" w:hAnsi="Georgia"/>
          <w:color w:val="76923C" w:themeColor="accent3" w:themeShade="BF"/>
          <w:lang w:val="da-DK"/>
        </w:rPr>
        <w:t>virksomhet</w:t>
      </w:r>
      <w:proofErr w:type="spellEnd"/>
    </w:p>
    <w:p w:rsidR="00E115D2" w:rsidRPr="00CA6FDC" w:rsidRDefault="00FB326B" w:rsidP="004F5FB1">
      <w:pPr>
        <w:pStyle w:val="Georgia11spacing10after"/>
        <w:rPr>
          <w:sz w:val="20"/>
          <w:szCs w:val="20"/>
          <w:lang w:val="en-US"/>
        </w:rPr>
      </w:pPr>
      <w:r w:rsidRPr="00D362A5">
        <w:rPr>
          <w:sz w:val="20"/>
          <w:szCs w:val="20"/>
          <w:lang w:val="nb-NO"/>
        </w:rPr>
        <w:t>Institutt for medisinske basalfag har et positivt regnskapsre</w:t>
      </w:r>
      <w:r w:rsidR="00CA6FDC">
        <w:rPr>
          <w:sz w:val="20"/>
          <w:szCs w:val="20"/>
          <w:lang w:val="nb-NO"/>
        </w:rPr>
        <w:t>sultat per 31.12.2021 på kr 30,1</w:t>
      </w:r>
      <w:r w:rsidRPr="00D362A5">
        <w:rPr>
          <w:sz w:val="20"/>
          <w:szCs w:val="20"/>
          <w:lang w:val="nb-NO"/>
        </w:rPr>
        <w:t xml:space="preserve">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 w:rsidR="0057761E">
        <w:rPr>
          <w:sz w:val="20"/>
          <w:szCs w:val="20"/>
          <w:lang w:val="nb-NO"/>
        </w:rPr>
        <w:t>, mot et budsjettert resultat på kr 22,2 mill</w:t>
      </w:r>
      <w:r w:rsidRPr="00D362A5">
        <w:rPr>
          <w:sz w:val="20"/>
          <w:szCs w:val="20"/>
          <w:lang w:val="nb-NO"/>
        </w:rPr>
        <w:t>.</w:t>
      </w:r>
      <w:r w:rsidR="006426B5" w:rsidRPr="00D362A5">
        <w:rPr>
          <w:sz w:val="20"/>
          <w:szCs w:val="20"/>
          <w:lang w:val="nb-NO"/>
        </w:rPr>
        <w:t xml:space="preserve"> </w:t>
      </w:r>
      <w:r w:rsidR="00E115D2">
        <w:rPr>
          <w:noProof/>
          <w:lang w:val="en-US"/>
        </w:rPr>
        <w:drawing>
          <wp:inline distT="0" distB="0" distL="0" distR="0" wp14:anchorId="1DBFC924" wp14:editId="0E85D0FD">
            <wp:extent cx="3737113" cy="19633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3031" cy="19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4B5" w:rsidRPr="00BB3FD7" w:rsidRDefault="00F44B89" w:rsidP="004F5FB1">
      <w:pPr>
        <w:pStyle w:val="Georgia11spacing10after"/>
        <w:rPr>
          <w:sz w:val="20"/>
          <w:szCs w:val="20"/>
          <w:lang w:val="nb-NO"/>
        </w:rPr>
      </w:pPr>
      <w:r w:rsidRPr="00BB3FD7">
        <w:rPr>
          <w:sz w:val="20"/>
          <w:szCs w:val="20"/>
          <w:lang w:val="nb-NO"/>
        </w:rPr>
        <w:t xml:space="preserve">IMB </w:t>
      </w:r>
      <w:r>
        <w:rPr>
          <w:sz w:val="20"/>
          <w:szCs w:val="20"/>
          <w:lang w:val="nb-NO"/>
        </w:rPr>
        <w:t>regnskapsførte</w:t>
      </w:r>
      <w:r w:rsidRPr="00BB3FD7">
        <w:rPr>
          <w:sz w:val="20"/>
          <w:szCs w:val="20"/>
          <w:lang w:val="nb-NO"/>
        </w:rPr>
        <w:t xml:space="preserve"> 12,5 </w:t>
      </w:r>
      <w:proofErr w:type="spellStart"/>
      <w:r w:rsidRPr="00BB3FD7">
        <w:rPr>
          <w:sz w:val="20"/>
          <w:szCs w:val="20"/>
          <w:lang w:val="nb-NO"/>
        </w:rPr>
        <w:t>mill</w:t>
      </w:r>
      <w:proofErr w:type="spellEnd"/>
      <w:r w:rsidRPr="00BB3FD7">
        <w:rPr>
          <w:sz w:val="20"/>
          <w:szCs w:val="20"/>
          <w:lang w:val="nb-NO"/>
        </w:rPr>
        <w:t xml:space="preserve"> </w:t>
      </w:r>
      <w:proofErr w:type="spellStart"/>
      <w:r w:rsidRPr="00BB3FD7">
        <w:rPr>
          <w:sz w:val="20"/>
          <w:szCs w:val="20"/>
          <w:lang w:val="nb-NO"/>
        </w:rPr>
        <w:t>mer</w:t>
      </w:r>
      <w:proofErr w:type="spellEnd"/>
      <w:r w:rsidRPr="00BB3FD7">
        <w:rPr>
          <w:sz w:val="20"/>
          <w:szCs w:val="20"/>
          <w:lang w:val="nb-NO"/>
        </w:rPr>
        <w:t xml:space="preserve"> </w:t>
      </w:r>
      <w:proofErr w:type="spellStart"/>
      <w:r w:rsidRPr="00BB3FD7">
        <w:rPr>
          <w:sz w:val="20"/>
          <w:szCs w:val="20"/>
          <w:lang w:val="nb-NO"/>
        </w:rPr>
        <w:t>i</w:t>
      </w:r>
      <w:proofErr w:type="spellEnd"/>
      <w:r w:rsidRPr="00BB3FD7">
        <w:rPr>
          <w:sz w:val="20"/>
          <w:szCs w:val="20"/>
          <w:lang w:val="nb-NO"/>
        </w:rPr>
        <w:t xml:space="preserve"> </w:t>
      </w:r>
      <w:proofErr w:type="spellStart"/>
      <w:r w:rsidRPr="00BB3FD7">
        <w:rPr>
          <w:sz w:val="20"/>
          <w:szCs w:val="20"/>
          <w:lang w:val="nb-NO"/>
        </w:rPr>
        <w:t>inntekter</w:t>
      </w:r>
      <w:proofErr w:type="spellEnd"/>
      <w:r w:rsidRPr="00BB3FD7">
        <w:rPr>
          <w:sz w:val="20"/>
          <w:szCs w:val="20"/>
          <w:lang w:val="nb-NO"/>
        </w:rPr>
        <w:t xml:space="preserve"> </w:t>
      </w:r>
      <w:proofErr w:type="spellStart"/>
      <w:r w:rsidRPr="00BB3FD7">
        <w:rPr>
          <w:sz w:val="20"/>
          <w:szCs w:val="20"/>
          <w:lang w:val="nb-NO"/>
        </w:rPr>
        <w:t>i</w:t>
      </w:r>
      <w:proofErr w:type="spellEnd"/>
      <w:r w:rsidRPr="00BB3FD7">
        <w:rPr>
          <w:sz w:val="20"/>
          <w:szCs w:val="20"/>
          <w:lang w:val="nb-NO"/>
        </w:rPr>
        <w:t xml:space="preserve"> 2021 </w:t>
      </w:r>
      <w:proofErr w:type="spellStart"/>
      <w:r w:rsidRPr="00BB3FD7">
        <w:rPr>
          <w:sz w:val="20"/>
          <w:szCs w:val="20"/>
          <w:lang w:val="nb-NO"/>
        </w:rPr>
        <w:t>enn</w:t>
      </w:r>
      <w:proofErr w:type="spellEnd"/>
      <w:r w:rsidRPr="00BB3FD7">
        <w:rPr>
          <w:sz w:val="20"/>
          <w:szCs w:val="20"/>
          <w:lang w:val="nb-NO"/>
        </w:rPr>
        <w:t xml:space="preserve"> </w:t>
      </w:r>
      <w:proofErr w:type="spellStart"/>
      <w:r w:rsidRPr="00BB3FD7">
        <w:rPr>
          <w:sz w:val="20"/>
          <w:szCs w:val="20"/>
          <w:lang w:val="nb-NO"/>
        </w:rPr>
        <w:t>budsjettert</w:t>
      </w:r>
      <w:proofErr w:type="spellEnd"/>
      <w:r w:rsidRPr="00BB3FD7">
        <w:rPr>
          <w:sz w:val="20"/>
          <w:szCs w:val="20"/>
          <w:lang w:val="nb-NO"/>
        </w:rPr>
        <w:t>.</w:t>
      </w:r>
      <w:r>
        <w:rPr>
          <w:sz w:val="20"/>
          <w:szCs w:val="20"/>
          <w:lang w:val="nb-NO"/>
        </w:rPr>
        <w:t xml:space="preserve"> </w:t>
      </w:r>
      <w:r w:rsidR="00892252">
        <w:rPr>
          <w:sz w:val="20"/>
          <w:szCs w:val="20"/>
          <w:lang w:val="nb-NO"/>
        </w:rPr>
        <w:t>Av dette utgjør interne transaksjoner (viderefakturering) om lag 2/3</w:t>
      </w:r>
      <w:r w:rsidR="004F5FB1">
        <w:rPr>
          <w:sz w:val="20"/>
          <w:szCs w:val="20"/>
          <w:lang w:val="nb-NO"/>
        </w:rPr>
        <w:t>, og disse finner man for en stor del igjen som driftskostnader i BOA og bevilgningsfinansiert aktivitet</w:t>
      </w:r>
      <w:r w:rsidR="00CA6FDC">
        <w:rPr>
          <w:sz w:val="20"/>
          <w:szCs w:val="20"/>
          <w:lang w:val="nb-NO"/>
        </w:rPr>
        <w:t xml:space="preserve"> ved IMB</w:t>
      </w:r>
      <w:r w:rsidR="00892252">
        <w:rPr>
          <w:sz w:val="20"/>
          <w:szCs w:val="20"/>
          <w:lang w:val="nb-NO"/>
        </w:rPr>
        <w:t xml:space="preserve">. </w:t>
      </w:r>
      <w:r w:rsidR="00A064B5" w:rsidRPr="00A064B5">
        <w:rPr>
          <w:sz w:val="20"/>
          <w:szCs w:val="20"/>
          <w:lang w:val="nb-NO"/>
        </w:rPr>
        <w:t xml:space="preserve">Det </w:t>
      </w:r>
      <w:r w:rsidR="00A064B5" w:rsidRPr="00BB3FD7">
        <w:rPr>
          <w:sz w:val="20"/>
          <w:szCs w:val="20"/>
          <w:lang w:val="nb-NO"/>
        </w:rPr>
        <w:t>var</w:t>
      </w:r>
      <w:r w:rsidR="00A064B5" w:rsidRPr="00A064B5">
        <w:rPr>
          <w:sz w:val="20"/>
          <w:szCs w:val="20"/>
          <w:lang w:val="nb-NO"/>
        </w:rPr>
        <w:t xml:space="preserve"> ubetydelige avvik på personal</w:t>
      </w:r>
      <w:r w:rsidR="00A064B5" w:rsidRPr="00BB3FD7">
        <w:rPr>
          <w:sz w:val="20"/>
          <w:szCs w:val="20"/>
          <w:lang w:val="nb-NO"/>
        </w:rPr>
        <w:t xml:space="preserve"> </w:t>
      </w:r>
      <w:proofErr w:type="spellStart"/>
      <w:r w:rsidR="00A064B5" w:rsidRPr="00BB3FD7">
        <w:rPr>
          <w:sz w:val="20"/>
          <w:szCs w:val="20"/>
          <w:lang w:val="nb-NO"/>
        </w:rPr>
        <w:t>og</w:t>
      </w:r>
      <w:proofErr w:type="spellEnd"/>
      <w:r w:rsidR="00A064B5" w:rsidRPr="00BB3FD7">
        <w:rPr>
          <w:sz w:val="20"/>
          <w:szCs w:val="20"/>
          <w:lang w:val="nb-NO"/>
        </w:rPr>
        <w:t xml:space="preserve"> drifts</w:t>
      </w:r>
      <w:r w:rsidR="004F5FB1">
        <w:rPr>
          <w:sz w:val="20"/>
          <w:szCs w:val="20"/>
          <w:lang w:val="nb-NO"/>
        </w:rPr>
        <w:t>kostnader målt mot budsjett, men</w:t>
      </w:r>
      <w:r w:rsidR="00CA6FDC">
        <w:rPr>
          <w:sz w:val="20"/>
          <w:szCs w:val="20"/>
          <w:lang w:val="nb-NO"/>
        </w:rPr>
        <w:t>s</w:t>
      </w:r>
      <w:r w:rsidR="004F5FB1">
        <w:rPr>
          <w:sz w:val="20"/>
          <w:szCs w:val="20"/>
          <w:lang w:val="nb-NO"/>
        </w:rPr>
        <w:t xml:space="preserve"> n</w:t>
      </w:r>
      <w:r w:rsidR="00A064B5" w:rsidRPr="00A064B5">
        <w:rPr>
          <w:sz w:val="20"/>
          <w:szCs w:val="20"/>
          <w:lang w:val="nb-NO"/>
        </w:rPr>
        <w:t>ettobidraget fra eksternt finansierte prosjekter</w:t>
      </w:r>
      <w:r w:rsidR="00A064B5" w:rsidRPr="00BB3FD7">
        <w:rPr>
          <w:sz w:val="20"/>
          <w:szCs w:val="20"/>
          <w:lang w:val="nb-NO"/>
        </w:rPr>
        <w:t xml:space="preserve"> ble </w:t>
      </w:r>
      <w:r>
        <w:rPr>
          <w:sz w:val="20"/>
          <w:szCs w:val="20"/>
          <w:lang w:val="nb-NO"/>
        </w:rPr>
        <w:t xml:space="preserve">kr </w:t>
      </w:r>
      <w:r w:rsidR="00A064B5" w:rsidRPr="00BB3FD7">
        <w:rPr>
          <w:sz w:val="20"/>
          <w:szCs w:val="20"/>
          <w:lang w:val="nb-NO"/>
        </w:rPr>
        <w:t>2 mill</w:t>
      </w:r>
      <w:r w:rsidR="00CA6FDC">
        <w:rPr>
          <w:sz w:val="20"/>
          <w:szCs w:val="20"/>
          <w:lang w:val="nb-NO"/>
        </w:rPr>
        <w:t>.</w:t>
      </w:r>
      <w:r w:rsidR="00A064B5" w:rsidRPr="00BB3FD7">
        <w:rPr>
          <w:sz w:val="20"/>
          <w:szCs w:val="20"/>
          <w:lang w:val="nb-NO"/>
        </w:rPr>
        <w:t xml:space="preserve"> lavere enn budsjettert</w:t>
      </w:r>
      <w:r w:rsidR="00A064B5" w:rsidRPr="00A064B5">
        <w:rPr>
          <w:sz w:val="20"/>
          <w:szCs w:val="20"/>
          <w:lang w:val="nb-NO"/>
        </w:rPr>
        <w:t xml:space="preserve">. </w:t>
      </w:r>
      <w:r w:rsidR="004F5FB1">
        <w:rPr>
          <w:sz w:val="20"/>
          <w:szCs w:val="20"/>
          <w:lang w:val="nb-NO"/>
        </w:rPr>
        <w:t>Dette i</w:t>
      </w:r>
      <w:r w:rsidR="00BB3FD7">
        <w:rPr>
          <w:sz w:val="20"/>
          <w:szCs w:val="20"/>
          <w:lang w:val="nb-NO"/>
        </w:rPr>
        <w:t xml:space="preserve"> hovedsak som følge av lavere leiestedsinntekter.</w:t>
      </w:r>
    </w:p>
    <w:p w:rsidR="00A064B5" w:rsidRDefault="00397C1E" w:rsidP="004F5FB1">
      <w:pPr>
        <w:spacing w:after="200" w:line="276" w:lineRule="auto"/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0"/>
          <w:szCs w:val="20"/>
        </w:rPr>
        <w:t xml:space="preserve">I april </w:t>
      </w:r>
      <w:r w:rsidR="00CA6FDC">
        <w:rPr>
          <w:rFonts w:ascii="Georgia" w:eastAsia="Calibri" w:hAnsi="Georgia" w:cs="Times New Roman"/>
          <w:sz w:val="20"/>
          <w:szCs w:val="20"/>
        </w:rPr>
        <w:t>utbetalt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="00A064B5" w:rsidRPr="00BB3FD7">
        <w:rPr>
          <w:rFonts w:ascii="Georgia" w:eastAsia="Calibri" w:hAnsi="Georgia" w:cs="Times New Roman"/>
          <w:sz w:val="20"/>
          <w:szCs w:val="20"/>
        </w:rPr>
        <w:t>UiO hjemmekontor-kompensasjon</w:t>
      </w:r>
      <w:r>
        <w:rPr>
          <w:rFonts w:ascii="Georgia" w:eastAsia="Calibri" w:hAnsi="Georgia" w:cs="Times New Roman"/>
          <w:sz w:val="20"/>
          <w:szCs w:val="20"/>
        </w:rPr>
        <w:t xml:space="preserve"> til alle ansatte og kostnadene </w:t>
      </w:r>
      <w:r w:rsidR="00F86D07">
        <w:rPr>
          <w:rFonts w:ascii="Georgia" w:eastAsia="Calibri" w:hAnsi="Georgia" w:cs="Times New Roman"/>
          <w:sz w:val="20"/>
          <w:szCs w:val="20"/>
        </w:rPr>
        <w:t xml:space="preserve">ble </w:t>
      </w:r>
      <w:r>
        <w:rPr>
          <w:rFonts w:ascii="Georgia" w:eastAsia="Calibri" w:hAnsi="Georgia" w:cs="Times New Roman"/>
          <w:sz w:val="20"/>
          <w:szCs w:val="20"/>
        </w:rPr>
        <w:t>fordelt til den ansattes enhet.</w:t>
      </w:r>
      <w:r w:rsidR="00A064B5">
        <w:rPr>
          <w:rFonts w:ascii="Georgia" w:eastAsia="Calibri" w:hAnsi="Georgia" w:cs="Times New Roman"/>
          <w:sz w:val="20"/>
          <w:szCs w:val="20"/>
        </w:rPr>
        <w:t xml:space="preserve"> </w:t>
      </w:r>
      <w:r>
        <w:rPr>
          <w:rFonts w:ascii="Georgia" w:eastAsia="Calibri" w:hAnsi="Georgia" w:cs="Times New Roman"/>
          <w:sz w:val="20"/>
          <w:szCs w:val="20"/>
        </w:rPr>
        <w:t>D</w:t>
      </w:r>
      <w:r w:rsidR="00E115D2">
        <w:rPr>
          <w:rFonts w:ascii="Georgia" w:eastAsia="Calibri" w:hAnsi="Georgia" w:cs="Times New Roman"/>
          <w:sz w:val="20"/>
          <w:szCs w:val="20"/>
        </w:rPr>
        <w:t xml:space="preserve">ette </w:t>
      </w:r>
      <w:r w:rsidR="00F44B89">
        <w:rPr>
          <w:rFonts w:ascii="Georgia" w:eastAsia="Calibri" w:hAnsi="Georgia" w:cs="Times New Roman"/>
          <w:sz w:val="20"/>
          <w:szCs w:val="20"/>
        </w:rPr>
        <w:t>betød</w:t>
      </w:r>
      <w:r w:rsidR="00E115D2">
        <w:rPr>
          <w:rFonts w:ascii="Georgia" w:eastAsia="Calibri" w:hAnsi="Georgia" w:cs="Times New Roman"/>
          <w:sz w:val="20"/>
          <w:szCs w:val="20"/>
        </w:rPr>
        <w:t xml:space="preserve"> en</w:t>
      </w:r>
      <w:r>
        <w:rPr>
          <w:rFonts w:ascii="Georgia" w:eastAsia="Calibri" w:hAnsi="Georgia" w:cs="Times New Roman"/>
          <w:sz w:val="20"/>
          <w:szCs w:val="20"/>
        </w:rPr>
        <w:t xml:space="preserve"> ubudsjetterte merkost</w:t>
      </w:r>
      <w:r w:rsidR="00E115D2">
        <w:rPr>
          <w:rFonts w:ascii="Georgia" w:eastAsia="Calibri" w:hAnsi="Georgia" w:cs="Times New Roman"/>
          <w:sz w:val="20"/>
          <w:szCs w:val="20"/>
        </w:rPr>
        <w:t>nad på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proofErr w:type="spellStart"/>
      <w:r w:rsidRPr="00BB3FD7">
        <w:rPr>
          <w:rFonts w:ascii="Georgia" w:eastAsia="Calibri" w:hAnsi="Georgia" w:cs="Times New Roman"/>
          <w:sz w:val="20"/>
          <w:szCs w:val="20"/>
        </w:rPr>
        <w:t>kr</w:t>
      </w:r>
      <w:proofErr w:type="spellEnd"/>
      <w:r w:rsidRPr="00BB3FD7">
        <w:rPr>
          <w:rFonts w:ascii="Georgia" w:eastAsia="Calibri" w:hAnsi="Georgia" w:cs="Times New Roman"/>
          <w:sz w:val="20"/>
          <w:szCs w:val="20"/>
        </w:rPr>
        <w:t xml:space="preserve"> 2,</w:t>
      </w:r>
      <w:r>
        <w:rPr>
          <w:rFonts w:ascii="Georgia" w:eastAsia="Calibri" w:hAnsi="Georgia" w:cs="Times New Roman"/>
          <w:sz w:val="20"/>
          <w:szCs w:val="20"/>
        </w:rPr>
        <w:t>8</w:t>
      </w:r>
      <w:r w:rsidRPr="00BB3FD7">
        <w:rPr>
          <w:rFonts w:ascii="Georgia" w:eastAsia="Calibri" w:hAnsi="Georgia" w:cs="Times New Roman"/>
          <w:sz w:val="20"/>
          <w:szCs w:val="20"/>
        </w:rPr>
        <w:t xml:space="preserve"> mill</w:t>
      </w:r>
      <w:r>
        <w:rPr>
          <w:rFonts w:ascii="Georgia" w:eastAsia="Calibri" w:hAnsi="Georgia" w:cs="Times New Roman"/>
          <w:sz w:val="20"/>
          <w:szCs w:val="20"/>
        </w:rPr>
        <w:t xml:space="preserve"> for IMB totalt</w:t>
      </w:r>
      <w:r w:rsidR="00E115D2">
        <w:rPr>
          <w:rFonts w:ascii="Georgia" w:eastAsia="Calibri" w:hAnsi="Georgia" w:cs="Times New Roman"/>
          <w:sz w:val="20"/>
          <w:szCs w:val="20"/>
        </w:rPr>
        <w:t>. Bl.a. som følge av at</w:t>
      </w:r>
      <w:r w:rsidR="00A064B5">
        <w:rPr>
          <w:rFonts w:ascii="Georgia" w:eastAsia="Calibri" w:hAnsi="Georgia" w:cs="Times New Roman"/>
          <w:sz w:val="20"/>
          <w:szCs w:val="20"/>
        </w:rPr>
        <w:t xml:space="preserve"> noen av årets nyansettelser</w:t>
      </w:r>
      <w:r>
        <w:rPr>
          <w:rFonts w:ascii="Georgia" w:eastAsia="Calibri" w:hAnsi="Georgia" w:cs="Times New Roman"/>
          <w:sz w:val="20"/>
          <w:szCs w:val="20"/>
        </w:rPr>
        <w:t xml:space="preserve"> ble</w:t>
      </w:r>
      <w:r w:rsidR="00A064B5">
        <w:rPr>
          <w:rFonts w:ascii="Georgia" w:eastAsia="Calibri" w:hAnsi="Georgia" w:cs="Times New Roman"/>
          <w:sz w:val="20"/>
          <w:szCs w:val="20"/>
        </w:rPr>
        <w:t xml:space="preserve"> forsk</w:t>
      </w:r>
      <w:r>
        <w:rPr>
          <w:rFonts w:ascii="Georgia" w:eastAsia="Calibri" w:hAnsi="Georgia" w:cs="Times New Roman"/>
          <w:sz w:val="20"/>
          <w:szCs w:val="20"/>
        </w:rPr>
        <w:t>jøvet</w:t>
      </w:r>
      <w:r w:rsidR="00E115D2">
        <w:rPr>
          <w:rFonts w:ascii="Georgia" w:eastAsia="Calibri" w:hAnsi="Georgia" w:cs="Times New Roman"/>
          <w:sz w:val="20"/>
          <w:szCs w:val="20"/>
        </w:rPr>
        <w:t xml:space="preserve"> i tid ble t</w:t>
      </w:r>
      <w:r w:rsidR="00A064B5">
        <w:rPr>
          <w:rFonts w:ascii="Georgia" w:eastAsia="Calibri" w:hAnsi="Georgia" w:cs="Times New Roman"/>
          <w:sz w:val="20"/>
          <w:szCs w:val="20"/>
        </w:rPr>
        <w:t xml:space="preserve">otale </w:t>
      </w:r>
      <w:r w:rsidR="00A064B5" w:rsidRPr="00A254C4">
        <w:rPr>
          <w:rFonts w:ascii="Georgia" w:eastAsia="Calibri" w:hAnsi="Georgia" w:cs="Times New Roman"/>
          <w:sz w:val="20"/>
          <w:szCs w:val="20"/>
        </w:rPr>
        <w:t xml:space="preserve">personalkostnader </w:t>
      </w:r>
      <w:r w:rsidR="00E115D2">
        <w:rPr>
          <w:rFonts w:ascii="Georgia" w:eastAsia="Calibri" w:hAnsi="Georgia" w:cs="Times New Roman"/>
          <w:sz w:val="20"/>
          <w:szCs w:val="20"/>
        </w:rPr>
        <w:t>for året som helhet likevel</w:t>
      </w:r>
      <w:r w:rsidR="00A064B5">
        <w:rPr>
          <w:rFonts w:ascii="Georgia" w:eastAsia="Calibri" w:hAnsi="Georgia" w:cs="Times New Roman"/>
          <w:sz w:val="20"/>
          <w:szCs w:val="20"/>
        </w:rPr>
        <w:t xml:space="preserve"> som budsjettert. </w:t>
      </w:r>
    </w:p>
    <w:p w:rsidR="00A064B5" w:rsidRDefault="00A064B5" w:rsidP="004F5FB1">
      <w:pPr>
        <w:spacing w:after="200" w:line="276" w:lineRule="auto"/>
        <w:rPr>
          <w:rFonts w:ascii="Georgia" w:eastAsia="Calibri" w:hAnsi="Georgia" w:cs="Times New Roman"/>
          <w:sz w:val="20"/>
          <w:szCs w:val="20"/>
        </w:rPr>
      </w:pPr>
      <w:r w:rsidRPr="00BB3FD7">
        <w:rPr>
          <w:rFonts w:ascii="Georgia" w:eastAsia="Calibri" w:hAnsi="Georgia" w:cs="Times New Roman"/>
          <w:sz w:val="20"/>
          <w:szCs w:val="20"/>
        </w:rPr>
        <w:t xml:space="preserve">Samlede driftskostnader </w:t>
      </w:r>
      <w:r w:rsidR="00F44B89">
        <w:rPr>
          <w:rFonts w:ascii="Georgia" w:eastAsia="Calibri" w:hAnsi="Georgia" w:cs="Times New Roman"/>
          <w:sz w:val="20"/>
          <w:szCs w:val="20"/>
        </w:rPr>
        <w:t>ble om lag som budsjettert i</w:t>
      </w:r>
      <w:r w:rsidR="00F44B89" w:rsidRPr="00BB3FD7">
        <w:rPr>
          <w:rFonts w:ascii="Georgia" w:eastAsia="Calibri" w:hAnsi="Georgia" w:cs="Times New Roman"/>
          <w:sz w:val="20"/>
          <w:szCs w:val="20"/>
        </w:rPr>
        <w:t xml:space="preserve"> 2021</w:t>
      </w:r>
      <w:r w:rsidR="004F5FB1">
        <w:rPr>
          <w:rFonts w:ascii="Georgia" w:eastAsia="Calibri" w:hAnsi="Georgia" w:cs="Times New Roman"/>
          <w:sz w:val="20"/>
          <w:szCs w:val="20"/>
        </w:rPr>
        <w:t>. Her</w:t>
      </w:r>
      <w:r w:rsidR="00BB3FD7">
        <w:rPr>
          <w:rFonts w:ascii="Georgia" w:eastAsia="Calibri" w:hAnsi="Georgia" w:cs="Times New Roman"/>
          <w:sz w:val="20"/>
          <w:szCs w:val="20"/>
        </w:rPr>
        <w:t xml:space="preserve"> er en betydelig andel</w:t>
      </w:r>
      <w:r w:rsidR="00892252">
        <w:rPr>
          <w:rFonts w:ascii="Georgia" w:eastAsia="Calibri" w:hAnsi="Georgia" w:cs="Times New Roman"/>
          <w:sz w:val="20"/>
          <w:szCs w:val="20"/>
        </w:rPr>
        <w:t xml:space="preserve"> viderefakturerte interne kostna</w:t>
      </w:r>
      <w:r w:rsidR="00BB3FD7">
        <w:rPr>
          <w:rFonts w:ascii="Georgia" w:eastAsia="Calibri" w:hAnsi="Georgia" w:cs="Times New Roman"/>
          <w:sz w:val="20"/>
          <w:szCs w:val="20"/>
        </w:rPr>
        <w:t>der.</w:t>
      </w:r>
      <w:r w:rsidRPr="00BB3FD7">
        <w:rPr>
          <w:rFonts w:ascii="Georgia" w:eastAsia="Calibri" w:hAnsi="Georgia" w:cs="Times New Roman"/>
          <w:sz w:val="20"/>
          <w:szCs w:val="20"/>
        </w:rPr>
        <w:t xml:space="preserve"> </w:t>
      </w:r>
      <w:r w:rsidR="00BB3FD7">
        <w:rPr>
          <w:rFonts w:ascii="Georgia" w:eastAsia="Calibri" w:hAnsi="Georgia" w:cs="Times New Roman"/>
          <w:sz w:val="20"/>
          <w:szCs w:val="20"/>
        </w:rPr>
        <w:t xml:space="preserve">Som følge av de </w:t>
      </w:r>
      <w:proofErr w:type="spellStart"/>
      <w:r w:rsidR="00BB3FD7">
        <w:rPr>
          <w:rFonts w:ascii="Georgia" w:eastAsia="Calibri" w:hAnsi="Georgia" w:cs="Times New Roman"/>
          <w:sz w:val="20"/>
          <w:szCs w:val="20"/>
        </w:rPr>
        <w:t>covid</w:t>
      </w:r>
      <w:proofErr w:type="spellEnd"/>
      <w:r w:rsidR="00BB3FD7">
        <w:rPr>
          <w:rFonts w:ascii="Georgia" w:eastAsia="Calibri" w:hAnsi="Georgia" w:cs="Times New Roman"/>
          <w:sz w:val="20"/>
          <w:szCs w:val="20"/>
        </w:rPr>
        <w:t>-relaterte reiserestriksjon</w:t>
      </w:r>
      <w:r w:rsidR="00892252">
        <w:rPr>
          <w:rFonts w:ascii="Georgia" w:eastAsia="Calibri" w:hAnsi="Georgia" w:cs="Times New Roman"/>
          <w:sz w:val="20"/>
          <w:szCs w:val="20"/>
        </w:rPr>
        <w:t>ene ble</w:t>
      </w:r>
      <w:r w:rsidR="00BB3FD7">
        <w:rPr>
          <w:rFonts w:ascii="Georgia" w:eastAsia="Calibri" w:hAnsi="Georgia" w:cs="Times New Roman"/>
          <w:sz w:val="20"/>
          <w:szCs w:val="20"/>
        </w:rPr>
        <w:t xml:space="preserve"> k</w:t>
      </w:r>
      <w:r w:rsidRPr="00BB3FD7">
        <w:rPr>
          <w:rFonts w:ascii="Georgia" w:eastAsia="Calibri" w:hAnsi="Georgia" w:cs="Times New Roman"/>
          <w:sz w:val="20"/>
          <w:szCs w:val="20"/>
        </w:rPr>
        <w:t>ost</w:t>
      </w:r>
      <w:r>
        <w:rPr>
          <w:rFonts w:ascii="Georgia" w:eastAsia="Calibri" w:hAnsi="Georgia" w:cs="Times New Roman"/>
          <w:sz w:val="20"/>
          <w:szCs w:val="20"/>
        </w:rPr>
        <w:t>na</w:t>
      </w:r>
      <w:r w:rsidRPr="00BB3FD7">
        <w:rPr>
          <w:rFonts w:ascii="Georgia" w:eastAsia="Calibri" w:hAnsi="Georgia" w:cs="Times New Roman"/>
          <w:sz w:val="20"/>
          <w:szCs w:val="20"/>
        </w:rPr>
        <w:t>der knyttet til</w:t>
      </w:r>
      <w:r w:rsidR="00BB3FD7" w:rsidRPr="00BB3FD7">
        <w:rPr>
          <w:rFonts w:ascii="Georgia" w:eastAsia="Calibri" w:hAnsi="Georgia" w:cs="Times New Roman"/>
          <w:sz w:val="20"/>
          <w:szCs w:val="20"/>
        </w:rPr>
        <w:t xml:space="preserve"> kurs, konferanser og reiser </w:t>
      </w:r>
      <w:r w:rsidR="00BB3FD7">
        <w:rPr>
          <w:rFonts w:ascii="Georgia" w:eastAsia="Calibri" w:hAnsi="Georgia" w:cs="Times New Roman"/>
          <w:sz w:val="20"/>
          <w:szCs w:val="20"/>
        </w:rPr>
        <w:t xml:space="preserve">betydelig lavere enn budsjettert, og </w:t>
      </w:r>
      <w:r w:rsidR="00BB3FD7" w:rsidRPr="00BB3FD7">
        <w:rPr>
          <w:rFonts w:ascii="Georgia" w:eastAsia="Calibri" w:hAnsi="Georgia" w:cs="Times New Roman"/>
          <w:sz w:val="20"/>
          <w:szCs w:val="20"/>
        </w:rPr>
        <w:t>utgjorde</w:t>
      </w:r>
      <w:r w:rsidR="004F5FB1">
        <w:rPr>
          <w:rFonts w:ascii="Georgia" w:eastAsia="Calibri" w:hAnsi="Georgia" w:cs="Times New Roman"/>
          <w:sz w:val="20"/>
          <w:szCs w:val="20"/>
        </w:rPr>
        <w:t xml:space="preserve"> bare</w:t>
      </w:r>
      <w:r w:rsidR="00BB3FD7" w:rsidRPr="00BB3FD7">
        <w:rPr>
          <w:rFonts w:ascii="Georgia" w:eastAsia="Calibri" w:hAnsi="Georgia" w:cs="Times New Roman"/>
          <w:sz w:val="20"/>
          <w:szCs w:val="20"/>
        </w:rPr>
        <w:t xml:space="preserve"> kr 2,6 </w:t>
      </w:r>
      <w:proofErr w:type="spellStart"/>
      <w:r w:rsidR="00BB3FD7" w:rsidRPr="00BB3FD7">
        <w:rPr>
          <w:rFonts w:ascii="Georgia" w:eastAsia="Calibri" w:hAnsi="Georgia" w:cs="Times New Roman"/>
          <w:sz w:val="20"/>
          <w:szCs w:val="20"/>
        </w:rPr>
        <w:t>mill</w:t>
      </w:r>
      <w:proofErr w:type="spellEnd"/>
      <w:r w:rsidR="00BB3FD7" w:rsidRPr="00BB3FD7">
        <w:rPr>
          <w:rFonts w:ascii="Georgia" w:eastAsia="Calibri" w:hAnsi="Georgia" w:cs="Times New Roman"/>
          <w:sz w:val="20"/>
          <w:szCs w:val="20"/>
        </w:rPr>
        <w:t xml:space="preserve"> </w:t>
      </w:r>
      <w:r w:rsidR="00BB3FD7">
        <w:rPr>
          <w:rFonts w:ascii="Georgia" w:eastAsia="Calibri" w:hAnsi="Georgia" w:cs="Times New Roman"/>
          <w:sz w:val="20"/>
          <w:szCs w:val="20"/>
        </w:rPr>
        <w:t>i</w:t>
      </w:r>
      <w:r w:rsidR="00BB3FD7" w:rsidRPr="00BB3FD7">
        <w:rPr>
          <w:rFonts w:ascii="Georgia" w:eastAsia="Calibri" w:hAnsi="Georgia" w:cs="Times New Roman"/>
          <w:sz w:val="20"/>
          <w:szCs w:val="20"/>
        </w:rPr>
        <w:t xml:space="preserve"> </w:t>
      </w:r>
      <w:r w:rsidR="00BB3FD7">
        <w:rPr>
          <w:rFonts w:ascii="Georgia" w:eastAsia="Calibri" w:hAnsi="Georgia" w:cs="Times New Roman"/>
          <w:sz w:val="20"/>
          <w:szCs w:val="20"/>
        </w:rPr>
        <w:t>2021. Dette tilsvarer om lag 40%</w:t>
      </w:r>
      <w:r w:rsidRPr="00BB3FD7">
        <w:rPr>
          <w:rFonts w:ascii="Georgia" w:eastAsia="Calibri" w:hAnsi="Georgia" w:cs="Times New Roman"/>
          <w:sz w:val="20"/>
          <w:szCs w:val="20"/>
        </w:rPr>
        <w:t xml:space="preserve"> </w:t>
      </w:r>
      <w:r w:rsidR="00BB3FD7">
        <w:rPr>
          <w:rFonts w:ascii="Georgia" w:eastAsia="Calibri" w:hAnsi="Georgia" w:cs="Times New Roman"/>
          <w:sz w:val="20"/>
          <w:szCs w:val="20"/>
        </w:rPr>
        <w:t xml:space="preserve">av </w:t>
      </w:r>
      <w:r w:rsidR="00892252">
        <w:rPr>
          <w:rFonts w:ascii="Georgia" w:eastAsia="Calibri" w:hAnsi="Georgia" w:cs="Times New Roman"/>
          <w:sz w:val="20"/>
          <w:szCs w:val="20"/>
        </w:rPr>
        <w:t>nivået</w:t>
      </w:r>
      <w:r w:rsidR="00BB3FD7">
        <w:rPr>
          <w:rFonts w:ascii="Georgia" w:eastAsia="Calibri" w:hAnsi="Georgia" w:cs="Times New Roman"/>
          <w:sz w:val="20"/>
          <w:szCs w:val="20"/>
        </w:rPr>
        <w:t xml:space="preserve"> i «normalåret» 2019.</w:t>
      </w:r>
    </w:p>
    <w:p w:rsidR="00892252" w:rsidRDefault="00892252" w:rsidP="004F5FB1">
      <w:pPr>
        <w:pStyle w:val="Georgia11spacing10after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Av </w:t>
      </w:r>
      <w:proofErr w:type="spellStart"/>
      <w:r>
        <w:rPr>
          <w:sz w:val="20"/>
          <w:szCs w:val="20"/>
          <w:lang w:val="nb-NO"/>
        </w:rPr>
        <w:t>IMBs</w:t>
      </w:r>
      <w:proofErr w:type="spellEnd"/>
      <w:r>
        <w:rPr>
          <w:sz w:val="20"/>
          <w:szCs w:val="20"/>
          <w:lang w:val="nb-NO"/>
        </w:rPr>
        <w:t xml:space="preserve"> fire fagavdelinger er Avdeling for molekylærmedisin den eneste som har kommet ut av 2021 med et lavere overskudd enn de gikk inn i året med. Dette er i hovedsak som følge av lavere leiestedsinntekter. De tre øvrige har til dels betydelig akkumulerte midler på starten av 2022. </w:t>
      </w:r>
      <w:r w:rsidR="004F5FB1">
        <w:rPr>
          <w:sz w:val="20"/>
          <w:szCs w:val="20"/>
          <w:lang w:val="nb-NO"/>
        </w:rPr>
        <w:t xml:space="preserve">Se tabell 2. </w:t>
      </w:r>
      <w:r>
        <w:rPr>
          <w:sz w:val="20"/>
          <w:szCs w:val="20"/>
          <w:lang w:val="nb-NO"/>
        </w:rPr>
        <w:t xml:space="preserve">Det </w:t>
      </w:r>
      <w:r w:rsidR="004F5FB1">
        <w:rPr>
          <w:sz w:val="20"/>
          <w:szCs w:val="20"/>
          <w:lang w:val="nb-NO"/>
        </w:rPr>
        <w:t>settes i</w:t>
      </w:r>
      <w:r>
        <w:rPr>
          <w:sz w:val="20"/>
          <w:szCs w:val="20"/>
          <w:lang w:val="nb-NO"/>
        </w:rPr>
        <w:t xml:space="preserve"> gang</w:t>
      </w:r>
      <w:r w:rsidR="004F5FB1">
        <w:rPr>
          <w:sz w:val="20"/>
          <w:szCs w:val="20"/>
          <w:lang w:val="nb-NO"/>
        </w:rPr>
        <w:t xml:space="preserve"> ulike</w:t>
      </w:r>
      <w:r>
        <w:rPr>
          <w:sz w:val="20"/>
          <w:szCs w:val="20"/>
          <w:lang w:val="nb-NO"/>
        </w:rPr>
        <w:t xml:space="preserve"> tiltak for å redusere det samlede overskuddet i avdelingene og IMB samlet</w:t>
      </w:r>
      <w:r w:rsidR="004F5FB1">
        <w:rPr>
          <w:sz w:val="20"/>
          <w:szCs w:val="20"/>
          <w:lang w:val="nb-NO"/>
        </w:rPr>
        <w:t xml:space="preserve"> i løpet av 2022.</w:t>
      </w:r>
    </w:p>
    <w:p w:rsidR="002C7671" w:rsidRDefault="0017688F" w:rsidP="004F5FB1">
      <w:pPr>
        <w:pStyle w:val="Georgia11spacing10after"/>
        <w:rPr>
          <w:sz w:val="16"/>
          <w:szCs w:val="20"/>
          <w:lang w:val="nb-NO"/>
        </w:rPr>
      </w:pPr>
      <w:r>
        <w:rPr>
          <w:noProof/>
          <w:lang w:val="en-US"/>
        </w:rPr>
        <w:drawing>
          <wp:inline distT="0" distB="0" distL="0" distR="0" wp14:anchorId="79963FA0" wp14:editId="7130F7A6">
            <wp:extent cx="5669280" cy="198230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3405" cy="19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53" w:rsidRDefault="00F21246" w:rsidP="004F5FB1">
      <w:pPr>
        <w:spacing w:after="200" w:line="276" w:lineRule="auto"/>
        <w:rPr>
          <w:rFonts w:ascii="Georgia" w:eastAsia="Calibri" w:hAnsi="Georgia" w:cs="Times New Roman"/>
          <w:sz w:val="20"/>
          <w:szCs w:val="20"/>
        </w:rPr>
      </w:pPr>
      <w:r w:rsidRPr="00AE5B74">
        <w:rPr>
          <w:rFonts w:ascii="Georgia" w:eastAsia="Calibri" w:hAnsi="Georgia" w:cs="Times New Roman"/>
          <w:sz w:val="20"/>
          <w:szCs w:val="20"/>
        </w:rPr>
        <w:lastRenderedPageBreak/>
        <w:t>Seksjon for komparativ medisin (KPM) hadde en betydelig inntek</w:t>
      </w:r>
      <w:r>
        <w:rPr>
          <w:rFonts w:ascii="Georgia" w:eastAsia="Calibri" w:hAnsi="Georgia" w:cs="Times New Roman"/>
          <w:sz w:val="20"/>
          <w:szCs w:val="20"/>
        </w:rPr>
        <w:t>tsreduksjon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 i 2021. Før sommeren antok vi at antall bur i produksjon ville øke utover høsten som følge av oppstart av nye prosjekter, med det viser seg å ta lengre tid enn antatt å få opp etterspørselen hos </w:t>
      </w:r>
      <w:proofErr w:type="spellStart"/>
      <w:r w:rsidRPr="00AE5B74">
        <w:rPr>
          <w:rFonts w:ascii="Georgia" w:eastAsia="Calibri" w:hAnsi="Georgia" w:cs="Times New Roman"/>
          <w:sz w:val="20"/>
          <w:szCs w:val="20"/>
        </w:rPr>
        <w:t>IMBs</w:t>
      </w:r>
      <w:proofErr w:type="spellEnd"/>
      <w:r w:rsidRPr="00AE5B74">
        <w:rPr>
          <w:rFonts w:ascii="Georgia" w:eastAsia="Calibri" w:hAnsi="Georgia" w:cs="Times New Roman"/>
          <w:sz w:val="20"/>
          <w:szCs w:val="20"/>
        </w:rPr>
        <w:t xml:space="preserve"> egne brukere. Lavere </w:t>
      </w:r>
      <w:proofErr w:type="spellStart"/>
      <w:r w:rsidRPr="00AE5B74">
        <w:rPr>
          <w:rFonts w:ascii="Georgia" w:eastAsia="Calibri" w:hAnsi="Georgia" w:cs="Times New Roman"/>
          <w:sz w:val="20"/>
          <w:szCs w:val="20"/>
        </w:rPr>
        <w:t>burtall</w:t>
      </w:r>
      <w:proofErr w:type="spellEnd"/>
      <w:r w:rsidRPr="00AE5B74">
        <w:rPr>
          <w:rFonts w:ascii="Georgia" w:eastAsia="Calibri" w:hAnsi="Georgia" w:cs="Times New Roman"/>
          <w:sz w:val="20"/>
          <w:szCs w:val="20"/>
        </w:rPr>
        <w:t xml:space="preserve"> innebærer at noen kostnader (f.eks. for dyrefôr) er lavere enn de ellers ville vært, mens andre kostnader, som ikke varierer med antall bur (f.eks. fast personale), er vanskelig å redusere på kort </w:t>
      </w:r>
      <w:r w:rsidR="00E115D2">
        <w:rPr>
          <w:rFonts w:ascii="Georgia" w:eastAsia="Calibri" w:hAnsi="Georgia" w:cs="Times New Roman"/>
          <w:sz w:val="20"/>
          <w:szCs w:val="20"/>
        </w:rPr>
        <w:t>sikt. Samtidig medfører smitteverntiltak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 høyere kostnader. Institutte</w:t>
      </w:r>
      <w:r>
        <w:rPr>
          <w:rFonts w:ascii="Georgia" w:eastAsia="Calibri" w:hAnsi="Georgia" w:cs="Times New Roman"/>
          <w:sz w:val="20"/>
          <w:szCs w:val="20"/>
        </w:rPr>
        <w:t xml:space="preserve">t tilførte seksjonen </w:t>
      </w:r>
      <w:r w:rsidR="00E115D2" w:rsidRPr="00AE5B74">
        <w:rPr>
          <w:rFonts w:ascii="Georgia" w:eastAsia="Calibri" w:hAnsi="Georgia" w:cs="Times New Roman"/>
          <w:sz w:val="20"/>
          <w:szCs w:val="20"/>
        </w:rPr>
        <w:t>et ekstra tilskudd</w:t>
      </w:r>
      <w:r w:rsidR="00E115D2">
        <w:rPr>
          <w:rFonts w:ascii="Georgia" w:eastAsia="Calibri" w:hAnsi="Georgia" w:cs="Times New Roman"/>
          <w:sz w:val="20"/>
          <w:szCs w:val="20"/>
        </w:rPr>
        <w:t xml:space="preserve"> på kr</w:t>
      </w:r>
      <w:r w:rsidR="00E115D2" w:rsidRPr="00AE5B74">
        <w:rPr>
          <w:rFonts w:ascii="Georgia" w:eastAsia="Calibri" w:hAnsi="Georgia" w:cs="Times New Roman"/>
          <w:sz w:val="20"/>
          <w:szCs w:val="20"/>
        </w:rPr>
        <w:t xml:space="preserve"> </w:t>
      </w:r>
      <w:r>
        <w:rPr>
          <w:rFonts w:ascii="Georgia" w:eastAsia="Calibri" w:hAnsi="Georgia" w:cs="Times New Roman"/>
          <w:sz w:val="20"/>
          <w:szCs w:val="20"/>
        </w:rPr>
        <w:t>0,24 mill</w:t>
      </w:r>
      <w:r>
        <w:rPr>
          <w:rFonts w:ascii="Georgia" w:eastAsia="Calibri" w:hAnsi="Georgia" w:cs="Times New Roman"/>
          <w:sz w:val="20"/>
          <w:szCs w:val="20"/>
        </w:rPr>
        <w:t>. i</w:t>
      </w:r>
      <w:r w:rsidR="00E115D2">
        <w:rPr>
          <w:rFonts w:ascii="Georgia" w:eastAsia="Calibri" w:hAnsi="Georgia" w:cs="Times New Roman"/>
          <w:sz w:val="20"/>
          <w:szCs w:val="20"/>
        </w:rPr>
        <w:t xml:space="preserve"> desember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for å kompensere for </w:t>
      </w:r>
      <w:r>
        <w:rPr>
          <w:rFonts w:ascii="Georgia" w:eastAsia="Calibri" w:hAnsi="Georgia" w:cs="Times New Roman"/>
          <w:sz w:val="20"/>
          <w:szCs w:val="20"/>
        </w:rPr>
        <w:t>en del av denne typen merkostnader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. Seksjonens økonomi overvåkes nøye og det er iverksatt tiltak for å redusere kostnader der det er mulig. KPM </w:t>
      </w:r>
      <w:r>
        <w:rPr>
          <w:rFonts w:ascii="Georgia" w:eastAsia="Calibri" w:hAnsi="Georgia" w:cs="Times New Roman"/>
          <w:sz w:val="20"/>
          <w:szCs w:val="20"/>
        </w:rPr>
        <w:t>gikk inn i</w:t>
      </w:r>
      <w:r w:rsidR="00E115D2">
        <w:rPr>
          <w:rFonts w:ascii="Georgia" w:eastAsia="Calibri" w:hAnsi="Georgia" w:cs="Times New Roman"/>
          <w:sz w:val="20"/>
          <w:szCs w:val="20"/>
        </w:rPr>
        <w:t xml:space="preserve"> 2021</w:t>
      </w:r>
      <w:r>
        <w:rPr>
          <w:rFonts w:ascii="Georgia" w:eastAsia="Calibri" w:hAnsi="Georgia" w:cs="Times New Roman"/>
          <w:sz w:val="20"/>
          <w:szCs w:val="20"/>
        </w:rPr>
        <w:t xml:space="preserve"> med et overskudd på 0,31 mill</w:t>
      </w:r>
      <w:r>
        <w:rPr>
          <w:rFonts w:ascii="Georgia" w:eastAsia="Calibri" w:hAnsi="Georgia" w:cs="Times New Roman"/>
          <w:sz w:val="20"/>
          <w:szCs w:val="20"/>
        </w:rPr>
        <w:t>. Som følge av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Pr="00AE5B74">
        <w:rPr>
          <w:rFonts w:ascii="Georgia" w:eastAsia="Calibri" w:hAnsi="Georgia" w:cs="Times New Roman"/>
          <w:sz w:val="20"/>
          <w:szCs w:val="20"/>
        </w:rPr>
        <w:t>om lag 0,</w:t>
      </w:r>
      <w:r>
        <w:rPr>
          <w:rFonts w:ascii="Georgia" w:eastAsia="Calibri" w:hAnsi="Georgia" w:cs="Times New Roman"/>
          <w:sz w:val="20"/>
          <w:szCs w:val="20"/>
        </w:rPr>
        <w:t>75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 mill</w:t>
      </w:r>
      <w:r>
        <w:rPr>
          <w:rFonts w:ascii="Georgia" w:eastAsia="Calibri" w:hAnsi="Georgia" w:cs="Times New Roman"/>
          <w:sz w:val="20"/>
          <w:szCs w:val="20"/>
        </w:rPr>
        <w:t xml:space="preserve">. </w:t>
      </w:r>
      <w:r>
        <w:rPr>
          <w:rFonts w:ascii="Georgia" w:eastAsia="Calibri" w:hAnsi="Georgia" w:cs="Times New Roman"/>
          <w:sz w:val="20"/>
          <w:szCs w:val="20"/>
        </w:rPr>
        <w:t>høyere kostnader enn inntekter i 2021,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 går </w:t>
      </w:r>
      <w:r>
        <w:rPr>
          <w:rFonts w:ascii="Georgia" w:eastAsia="Calibri" w:hAnsi="Georgia" w:cs="Times New Roman"/>
          <w:sz w:val="20"/>
          <w:szCs w:val="20"/>
        </w:rPr>
        <w:t>s</w:t>
      </w:r>
      <w:r w:rsidRPr="00AE5B74">
        <w:rPr>
          <w:rFonts w:ascii="Georgia" w:eastAsia="Calibri" w:hAnsi="Georgia" w:cs="Times New Roman"/>
          <w:sz w:val="20"/>
          <w:szCs w:val="20"/>
        </w:rPr>
        <w:t xml:space="preserve">eksjonen inn i 2022 med et underskudd på kr 0,44 mill.  </w:t>
      </w:r>
    </w:p>
    <w:p w:rsidR="004F5FB1" w:rsidRDefault="004F5FB1" w:rsidP="004F5FB1">
      <w:pPr>
        <w:pStyle w:val="Georgia11spacing10after"/>
        <w:rPr>
          <w:sz w:val="20"/>
          <w:szCs w:val="20"/>
          <w:lang w:val="nb-NO"/>
        </w:rPr>
      </w:pPr>
      <w:r w:rsidRPr="00D362A5">
        <w:rPr>
          <w:sz w:val="20"/>
          <w:szCs w:val="20"/>
          <w:lang w:val="nb-NO"/>
        </w:rPr>
        <w:t xml:space="preserve">Av det akkumulerte </w:t>
      </w:r>
      <w:r>
        <w:rPr>
          <w:sz w:val="20"/>
          <w:szCs w:val="20"/>
          <w:lang w:val="nb-NO"/>
        </w:rPr>
        <w:t>overskuddet</w:t>
      </w:r>
      <w:r w:rsidRPr="00D362A5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på 30,1 mill. </w:t>
      </w:r>
      <w:r w:rsidRPr="00D362A5">
        <w:rPr>
          <w:sz w:val="20"/>
          <w:szCs w:val="20"/>
          <w:lang w:val="nb-NO"/>
        </w:rPr>
        <w:t xml:space="preserve">er ca. halvparten bundet til ulike forpliktelser. Kr 6,7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 w:rsidRPr="00D362A5">
        <w:rPr>
          <w:sz w:val="20"/>
          <w:szCs w:val="20"/>
          <w:lang w:val="nb-NO"/>
        </w:rPr>
        <w:t xml:space="preserve"> er bundet i sentrale øremerkinger til bl.a. Livsvitenskapssatsingen (kr 4,7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 w:rsidRPr="00D362A5">
        <w:rPr>
          <w:sz w:val="20"/>
          <w:szCs w:val="20"/>
          <w:lang w:val="nb-NO"/>
        </w:rPr>
        <w:t xml:space="preserve">), Russlandsamarbeid, (kr 1,5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 w:rsidRPr="00D362A5">
        <w:rPr>
          <w:sz w:val="20"/>
          <w:szCs w:val="20"/>
          <w:lang w:val="nb-NO"/>
        </w:rPr>
        <w:t xml:space="preserve">), </w:t>
      </w:r>
      <w:r>
        <w:rPr>
          <w:sz w:val="20"/>
          <w:szCs w:val="20"/>
          <w:lang w:val="nb-NO"/>
        </w:rPr>
        <w:t xml:space="preserve">samt </w:t>
      </w:r>
      <w:r w:rsidRPr="00D362A5">
        <w:rPr>
          <w:sz w:val="20"/>
          <w:szCs w:val="20"/>
          <w:lang w:val="nb-NO"/>
        </w:rPr>
        <w:t>innovasjons- og likestilli</w:t>
      </w:r>
      <w:r>
        <w:rPr>
          <w:sz w:val="20"/>
          <w:szCs w:val="20"/>
          <w:lang w:val="nb-NO"/>
        </w:rPr>
        <w:t>n</w:t>
      </w:r>
      <w:r w:rsidRPr="00D362A5">
        <w:rPr>
          <w:sz w:val="20"/>
          <w:szCs w:val="20"/>
          <w:lang w:val="nb-NO"/>
        </w:rPr>
        <w:t xml:space="preserve">gsmidler (kr 0,5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 w:rsidRPr="00D362A5">
        <w:rPr>
          <w:sz w:val="20"/>
          <w:szCs w:val="20"/>
          <w:lang w:val="nb-NO"/>
        </w:rPr>
        <w:t>). I tillegg har fakultetet pålagt IMB</w:t>
      </w:r>
      <w:r>
        <w:rPr>
          <w:sz w:val="20"/>
          <w:szCs w:val="20"/>
          <w:lang w:val="nb-NO"/>
        </w:rPr>
        <w:t xml:space="preserve"> å</w:t>
      </w:r>
      <w:r w:rsidRPr="00D362A5">
        <w:rPr>
          <w:sz w:val="20"/>
          <w:szCs w:val="20"/>
          <w:lang w:val="nb-NO"/>
        </w:rPr>
        <w:t xml:space="preserve"> dekke 2/3 </w:t>
      </w:r>
      <w:r>
        <w:rPr>
          <w:sz w:val="20"/>
          <w:szCs w:val="20"/>
          <w:lang w:val="nb-NO"/>
        </w:rPr>
        <w:t xml:space="preserve">av </w:t>
      </w:r>
      <w:r w:rsidRPr="00D362A5">
        <w:rPr>
          <w:sz w:val="20"/>
          <w:szCs w:val="20"/>
          <w:lang w:val="nb-NO"/>
        </w:rPr>
        <w:t>utstyr</w:t>
      </w:r>
      <w:r>
        <w:rPr>
          <w:sz w:val="20"/>
          <w:szCs w:val="20"/>
          <w:lang w:val="nb-NO"/>
        </w:rPr>
        <w:t>skostnadene</w:t>
      </w:r>
      <w:r w:rsidRPr="00D362A5">
        <w:rPr>
          <w:sz w:val="20"/>
          <w:szCs w:val="20"/>
          <w:lang w:val="nb-NO"/>
        </w:rPr>
        <w:t xml:space="preserve"> i forbindelse med oppgradering av den eldre delen av Seksjon for komparativ medisin (KPM), foreløpig estimert til kr 12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>
        <w:rPr>
          <w:sz w:val="20"/>
          <w:szCs w:val="20"/>
          <w:lang w:val="nb-NO"/>
        </w:rPr>
        <w:t xml:space="preserve"> totalt</w:t>
      </w:r>
      <w:r w:rsidRPr="00D362A5">
        <w:rPr>
          <w:sz w:val="20"/>
          <w:szCs w:val="20"/>
          <w:lang w:val="nb-NO"/>
        </w:rPr>
        <w:t xml:space="preserve">. Det betyr at ytterligere kr 8 </w:t>
      </w:r>
      <w:proofErr w:type="spellStart"/>
      <w:r w:rsidRPr="00D362A5">
        <w:rPr>
          <w:sz w:val="20"/>
          <w:szCs w:val="20"/>
          <w:lang w:val="nb-NO"/>
        </w:rPr>
        <w:t>mill</w:t>
      </w:r>
      <w:proofErr w:type="spellEnd"/>
      <w:r w:rsidRPr="00D362A5">
        <w:rPr>
          <w:sz w:val="20"/>
          <w:szCs w:val="20"/>
          <w:lang w:val="nb-NO"/>
        </w:rPr>
        <w:t xml:space="preserve"> er bundet. </w:t>
      </w:r>
      <w:r>
        <w:rPr>
          <w:sz w:val="20"/>
          <w:szCs w:val="20"/>
          <w:lang w:val="nb-NO"/>
        </w:rPr>
        <w:t>Det er budsjettert med at disse midlene i hovedsak skal brukes i løpet av 2022.</w:t>
      </w:r>
    </w:p>
    <w:p w:rsidR="004F5FB1" w:rsidRDefault="004F5FB1" w:rsidP="00892252">
      <w:pPr>
        <w:spacing w:line="276" w:lineRule="auto"/>
        <w:rPr>
          <w:rFonts w:ascii="Georgia" w:eastAsia="Calibri" w:hAnsi="Georgia" w:cs="Times New Roman"/>
          <w:sz w:val="20"/>
          <w:szCs w:val="20"/>
        </w:rPr>
      </w:pPr>
    </w:p>
    <w:p w:rsidR="00A75A53" w:rsidRDefault="00A75A53" w:rsidP="00892252">
      <w:pPr>
        <w:spacing w:line="276" w:lineRule="auto"/>
        <w:rPr>
          <w:rFonts w:ascii="Georgia" w:eastAsia="Calibri" w:hAnsi="Georgia" w:cs="Times New Roman"/>
          <w:sz w:val="20"/>
          <w:szCs w:val="20"/>
        </w:rPr>
      </w:pPr>
    </w:p>
    <w:p w:rsidR="00F21246" w:rsidRPr="00AE5B74" w:rsidRDefault="00F21246" w:rsidP="00F21246">
      <w:pPr>
        <w:spacing w:after="240"/>
        <w:rPr>
          <w:rFonts w:ascii="Georgia" w:eastAsia="Calibri" w:hAnsi="Georgia" w:cs="Times New Roman"/>
          <w:sz w:val="20"/>
          <w:szCs w:val="20"/>
        </w:rPr>
      </w:pPr>
      <w:r w:rsidRPr="00AE5B74">
        <w:rPr>
          <w:rFonts w:ascii="Georgia" w:eastAsia="Calibri" w:hAnsi="Georgia" w:cs="Times New Roman"/>
          <w:sz w:val="20"/>
          <w:szCs w:val="20"/>
        </w:rPr>
        <w:t xml:space="preserve">  </w:t>
      </w:r>
    </w:p>
    <w:p w:rsidR="00F21246" w:rsidRPr="00C65621" w:rsidRDefault="00F21246" w:rsidP="00DC3BCB">
      <w:pPr>
        <w:pStyle w:val="Georgia11spacing10after"/>
        <w:rPr>
          <w:sz w:val="16"/>
          <w:szCs w:val="20"/>
          <w:lang w:val="nb-NO"/>
        </w:rPr>
      </w:pPr>
    </w:p>
    <w:sectPr w:rsidR="00F21246" w:rsidRPr="00C65621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01" w:rsidRDefault="00CE4C01" w:rsidP="007A5617">
      <w:r>
        <w:separator/>
      </w:r>
    </w:p>
  </w:endnote>
  <w:endnote w:type="continuationSeparator" w:id="0">
    <w:p w:rsidR="00CE4C01" w:rsidRDefault="00CE4C01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07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01" w:rsidRDefault="00CE4C01" w:rsidP="007A5617">
      <w:r>
        <w:separator/>
      </w:r>
    </w:p>
  </w:footnote>
  <w:footnote w:type="continuationSeparator" w:id="0">
    <w:p w:rsidR="00CE4C01" w:rsidRDefault="00CE4C01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7" w:rsidRPr="005C07B5" w:rsidRDefault="00307EED" w:rsidP="0017688F">
    <w:pPr>
      <w:pStyle w:val="Header"/>
      <w:tabs>
        <w:tab w:val="clear" w:pos="8306"/>
        <w:tab w:val="left" w:pos="6534"/>
      </w:tabs>
      <w:ind w:right="120"/>
      <w:jc w:val="right"/>
      <w:rPr>
        <w:sz w:val="22"/>
      </w:rPr>
    </w:pPr>
    <w:r w:rsidRPr="007E7FF4">
      <w:rPr>
        <w:rFonts w:cs="Arial"/>
        <w:noProof/>
        <w:sz w:val="18"/>
        <w:lang w:val="en-US"/>
      </w:rPr>
      <w:drawing>
        <wp:anchor distT="0" distB="0" distL="114300" distR="114300" simplePos="0" relativeHeight="251659264" behindDoc="1" locked="1" layoutInCell="1" allowOverlap="1" wp14:anchorId="762EE03F" wp14:editId="7F5DD8CE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40B"/>
    <w:multiLevelType w:val="hybridMultilevel"/>
    <w:tmpl w:val="A6F2064A"/>
    <w:lvl w:ilvl="0" w:tplc="9A508A50">
      <w:start w:val="1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9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12D32"/>
    <w:rsid w:val="000506D9"/>
    <w:rsid w:val="0005636C"/>
    <w:rsid w:val="00062C13"/>
    <w:rsid w:val="00063639"/>
    <w:rsid w:val="000B1584"/>
    <w:rsid w:val="000B341F"/>
    <w:rsid w:val="000C4AB5"/>
    <w:rsid w:val="000D718B"/>
    <w:rsid w:val="00101296"/>
    <w:rsid w:val="0010559F"/>
    <w:rsid w:val="00107A96"/>
    <w:rsid w:val="001249CC"/>
    <w:rsid w:val="00125BEB"/>
    <w:rsid w:val="0017688F"/>
    <w:rsid w:val="001824F3"/>
    <w:rsid w:val="001923E5"/>
    <w:rsid w:val="00194505"/>
    <w:rsid w:val="001C5C2B"/>
    <w:rsid w:val="00227759"/>
    <w:rsid w:val="00237F17"/>
    <w:rsid w:val="00241300"/>
    <w:rsid w:val="00243496"/>
    <w:rsid w:val="00244923"/>
    <w:rsid w:val="00280D33"/>
    <w:rsid w:val="002822A5"/>
    <w:rsid w:val="00286C6D"/>
    <w:rsid w:val="002B1916"/>
    <w:rsid w:val="002C7671"/>
    <w:rsid w:val="002E67F7"/>
    <w:rsid w:val="002F0285"/>
    <w:rsid w:val="002F0A93"/>
    <w:rsid w:val="00305C8F"/>
    <w:rsid w:val="00307EED"/>
    <w:rsid w:val="00310ED5"/>
    <w:rsid w:val="00316B80"/>
    <w:rsid w:val="003175D2"/>
    <w:rsid w:val="00327D55"/>
    <w:rsid w:val="00335B5E"/>
    <w:rsid w:val="00380774"/>
    <w:rsid w:val="00397C1E"/>
    <w:rsid w:val="003A1D41"/>
    <w:rsid w:val="003A6119"/>
    <w:rsid w:val="003A7F11"/>
    <w:rsid w:val="003D5663"/>
    <w:rsid w:val="0040135A"/>
    <w:rsid w:val="00404856"/>
    <w:rsid w:val="0042563A"/>
    <w:rsid w:val="00432281"/>
    <w:rsid w:val="004665D9"/>
    <w:rsid w:val="004D20A6"/>
    <w:rsid w:val="004D37BC"/>
    <w:rsid w:val="004F0655"/>
    <w:rsid w:val="004F5AF9"/>
    <w:rsid w:val="004F5FB1"/>
    <w:rsid w:val="005040FB"/>
    <w:rsid w:val="0054619F"/>
    <w:rsid w:val="0057761E"/>
    <w:rsid w:val="00583DEA"/>
    <w:rsid w:val="00596D95"/>
    <w:rsid w:val="005F01A4"/>
    <w:rsid w:val="005F30FF"/>
    <w:rsid w:val="00613E11"/>
    <w:rsid w:val="00626A59"/>
    <w:rsid w:val="006426B5"/>
    <w:rsid w:val="00653105"/>
    <w:rsid w:val="006772DF"/>
    <w:rsid w:val="006B5177"/>
    <w:rsid w:val="006E5C60"/>
    <w:rsid w:val="006F5377"/>
    <w:rsid w:val="006F6574"/>
    <w:rsid w:val="006F6FD2"/>
    <w:rsid w:val="00725BDB"/>
    <w:rsid w:val="00734CCE"/>
    <w:rsid w:val="00743B78"/>
    <w:rsid w:val="0075785B"/>
    <w:rsid w:val="00773004"/>
    <w:rsid w:val="007878A4"/>
    <w:rsid w:val="007A5617"/>
    <w:rsid w:val="007E2EE6"/>
    <w:rsid w:val="007E7ACF"/>
    <w:rsid w:val="007E7FF4"/>
    <w:rsid w:val="007F4DD7"/>
    <w:rsid w:val="00810417"/>
    <w:rsid w:val="00846D69"/>
    <w:rsid w:val="00863721"/>
    <w:rsid w:val="00866ED1"/>
    <w:rsid w:val="0087162E"/>
    <w:rsid w:val="0088327B"/>
    <w:rsid w:val="00892252"/>
    <w:rsid w:val="008A659A"/>
    <w:rsid w:val="008C1A94"/>
    <w:rsid w:val="008F7537"/>
    <w:rsid w:val="009035A3"/>
    <w:rsid w:val="0091553D"/>
    <w:rsid w:val="00916DE7"/>
    <w:rsid w:val="00934B28"/>
    <w:rsid w:val="009543F3"/>
    <w:rsid w:val="009556BF"/>
    <w:rsid w:val="00964F9E"/>
    <w:rsid w:val="00982924"/>
    <w:rsid w:val="009A1660"/>
    <w:rsid w:val="009B0466"/>
    <w:rsid w:val="009C436F"/>
    <w:rsid w:val="009E64E7"/>
    <w:rsid w:val="00A064B5"/>
    <w:rsid w:val="00A251C9"/>
    <w:rsid w:val="00A44CBA"/>
    <w:rsid w:val="00A70879"/>
    <w:rsid w:val="00A75A53"/>
    <w:rsid w:val="00A85364"/>
    <w:rsid w:val="00A95262"/>
    <w:rsid w:val="00A97E9D"/>
    <w:rsid w:val="00AB56CB"/>
    <w:rsid w:val="00AC1D58"/>
    <w:rsid w:val="00AD78DE"/>
    <w:rsid w:val="00AE5B74"/>
    <w:rsid w:val="00AE6809"/>
    <w:rsid w:val="00B045A1"/>
    <w:rsid w:val="00B13933"/>
    <w:rsid w:val="00B20242"/>
    <w:rsid w:val="00B5117F"/>
    <w:rsid w:val="00B8278E"/>
    <w:rsid w:val="00BA0CA4"/>
    <w:rsid w:val="00BB3FD7"/>
    <w:rsid w:val="00BE5FCC"/>
    <w:rsid w:val="00C344C8"/>
    <w:rsid w:val="00C41B5E"/>
    <w:rsid w:val="00C60ADF"/>
    <w:rsid w:val="00C60C69"/>
    <w:rsid w:val="00C621CC"/>
    <w:rsid w:val="00C65621"/>
    <w:rsid w:val="00C94168"/>
    <w:rsid w:val="00CA6FDC"/>
    <w:rsid w:val="00CE4C01"/>
    <w:rsid w:val="00D028A9"/>
    <w:rsid w:val="00D362A5"/>
    <w:rsid w:val="00D37D00"/>
    <w:rsid w:val="00D54F66"/>
    <w:rsid w:val="00D65391"/>
    <w:rsid w:val="00D959FE"/>
    <w:rsid w:val="00D96411"/>
    <w:rsid w:val="00DC3BCB"/>
    <w:rsid w:val="00E061B1"/>
    <w:rsid w:val="00E115D2"/>
    <w:rsid w:val="00E27FAC"/>
    <w:rsid w:val="00E3133F"/>
    <w:rsid w:val="00E437E1"/>
    <w:rsid w:val="00E50759"/>
    <w:rsid w:val="00E56C32"/>
    <w:rsid w:val="00E66489"/>
    <w:rsid w:val="00E84F8C"/>
    <w:rsid w:val="00E96C66"/>
    <w:rsid w:val="00E9755E"/>
    <w:rsid w:val="00EA2FA0"/>
    <w:rsid w:val="00EB0116"/>
    <w:rsid w:val="00EB28DE"/>
    <w:rsid w:val="00EC2EC6"/>
    <w:rsid w:val="00EE5538"/>
    <w:rsid w:val="00EF2938"/>
    <w:rsid w:val="00EF5412"/>
    <w:rsid w:val="00F05AC8"/>
    <w:rsid w:val="00F1662F"/>
    <w:rsid w:val="00F21246"/>
    <w:rsid w:val="00F329C9"/>
    <w:rsid w:val="00F435D6"/>
    <w:rsid w:val="00F44B89"/>
    <w:rsid w:val="00F65E96"/>
    <w:rsid w:val="00F70BD9"/>
    <w:rsid w:val="00F86D07"/>
    <w:rsid w:val="00F90DE0"/>
    <w:rsid w:val="00FB326B"/>
    <w:rsid w:val="00FB7398"/>
    <w:rsid w:val="00FC385E"/>
    <w:rsid w:val="00FC7E6A"/>
    <w:rsid w:val="00FE1D61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D5D4A77"/>
  <w15:docId w15:val="{5A868994-02B8-4970-A9F4-EB5CAEC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866E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EA9A1CB8D6439320ADD0F9026754" ma:contentTypeVersion="13" ma:contentTypeDescription="Opprett et nytt dokument." ma:contentTypeScope="" ma:versionID="441bd96f5897a1f11141d71da1e198ee">
  <xsd:schema xmlns:xsd="http://www.w3.org/2001/XMLSchema" xmlns:xs="http://www.w3.org/2001/XMLSchema" xmlns:p="http://schemas.microsoft.com/office/2006/metadata/properties" xmlns:ns3="bb27ee95-11c7-4609-8921-3986b0fec200" xmlns:ns4="25f6dc8d-5bf9-4637-a46e-ee6220b526b6" targetNamespace="http://schemas.microsoft.com/office/2006/metadata/properties" ma:root="true" ma:fieldsID="83b14d2c7a19c7f72ed20bd40c0f6c5f" ns3:_="" ns4:_="">
    <xsd:import namespace="bb27ee95-11c7-4609-8921-3986b0fec200"/>
    <xsd:import namespace="25f6dc8d-5bf9-4637-a46e-ee6220b526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7ee95-11c7-4609-8921-3986b0fec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6dc8d-5bf9-4637-a46e-ee6220b52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BFABF-F426-4425-8497-7B7EB3186054}">
  <ds:schemaRefs>
    <ds:schemaRef ds:uri="bb27ee95-11c7-4609-8921-3986b0fec20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5f6dc8d-5bf9-4637-a46e-ee6220b526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60973-F20C-4E64-AA6C-55A9F468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7ee95-11c7-4609-8921-3986b0fec200"/>
    <ds:schemaRef ds:uri="25f6dc8d-5bf9-4637-a46e-ee6220b52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58DF2-0B4B-4A96-825C-90A6166ED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Rørtveit Mundal</dc:creator>
  <cp:keywords/>
  <dc:description/>
  <cp:lastModifiedBy>Trude Abelsen</cp:lastModifiedBy>
  <cp:revision>3</cp:revision>
  <cp:lastPrinted>2022-01-20T14:15:00Z</cp:lastPrinted>
  <dcterms:created xsi:type="dcterms:W3CDTF">2022-02-21T10:11:00Z</dcterms:created>
  <dcterms:modified xsi:type="dcterms:W3CDTF">2022-02-21T10:18:00Z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0x0101009652EA9A1CB8D6439320ADD0F9026754</vt:lpwstr>
  </property>
</Properties>
</file>