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0" w:rsidRDefault="007B7CC0" w:rsidP="007B7CC0">
      <w:pPr>
        <w:pStyle w:val="Overskrift1"/>
        <w:jc w:val="center"/>
        <w:rPr>
          <w:sz w:val="40"/>
          <w:szCs w:val="40"/>
        </w:rPr>
      </w:pPr>
      <w:bookmarkStart w:id="0" w:name="_Toc242868547"/>
      <w:bookmarkStart w:id="1" w:name="_Toc242869827"/>
      <w:bookmarkStart w:id="2" w:name="_Toc243026551"/>
      <w:bookmarkStart w:id="3" w:name="_Toc243026706"/>
      <w:bookmarkStart w:id="4" w:name="_Toc243030290"/>
      <w:bookmarkStart w:id="5" w:name="_Toc243487809"/>
      <w:r w:rsidRPr="007B08CD">
        <w:rPr>
          <w:sz w:val="48"/>
          <w:szCs w:val="36"/>
        </w:rPr>
        <w:t xml:space="preserve">Innleggelse av </w:t>
      </w:r>
      <w:r>
        <w:rPr>
          <w:sz w:val="48"/>
          <w:szCs w:val="36"/>
        </w:rPr>
        <w:t>Perifert venekateter</w:t>
      </w:r>
      <w:bookmarkEnd w:id="0"/>
      <w:bookmarkEnd w:id="1"/>
      <w:bookmarkEnd w:id="2"/>
      <w:bookmarkEnd w:id="3"/>
      <w:bookmarkEnd w:id="4"/>
      <w:bookmarkEnd w:id="5"/>
      <w:r>
        <w:rPr>
          <w:sz w:val="48"/>
          <w:szCs w:val="36"/>
        </w:rPr>
        <w:t>(PVK) og infusjonsoppheng</w:t>
      </w:r>
    </w:p>
    <w:p w:rsidR="007B7CC0" w:rsidRDefault="007B7CC0" w:rsidP="0075522D">
      <w:pPr>
        <w:pStyle w:val="Overskrift2"/>
        <w:rPr>
          <w:sz w:val="40"/>
          <w:szCs w:val="40"/>
        </w:rPr>
      </w:pPr>
    </w:p>
    <w:p w:rsidR="0075522D" w:rsidRPr="00EF7B8D" w:rsidRDefault="0075522D" w:rsidP="0075522D">
      <w:pPr>
        <w:pStyle w:val="Overskrift2"/>
        <w:rPr>
          <w:sz w:val="40"/>
          <w:szCs w:val="40"/>
        </w:rPr>
      </w:pPr>
      <w:r w:rsidRPr="00EF7B8D">
        <w:rPr>
          <w:sz w:val="40"/>
          <w:szCs w:val="40"/>
        </w:rPr>
        <w:t>Indikasjons for innleggelse av venekanyle:</w:t>
      </w:r>
    </w:p>
    <w:p w:rsidR="0075522D" w:rsidRDefault="0075522D" w:rsidP="0075522D">
      <w:pPr>
        <w:pStyle w:val="Listeavsnitt"/>
        <w:numPr>
          <w:ilvl w:val="0"/>
          <w:numId w:val="4"/>
        </w:numPr>
      </w:pPr>
      <w:r>
        <w:t xml:space="preserve">Væsketilførsel: </w:t>
      </w:r>
    </w:p>
    <w:p w:rsidR="0075522D" w:rsidRDefault="0075522D" w:rsidP="0075522D">
      <w:pPr>
        <w:pStyle w:val="Listeavsnitt"/>
        <w:numPr>
          <w:ilvl w:val="1"/>
          <w:numId w:val="4"/>
        </w:numPr>
      </w:pPr>
      <w:r>
        <w:t>Dersom pasienten er dehydrert</w:t>
      </w:r>
    </w:p>
    <w:p w:rsidR="0075522D" w:rsidRDefault="0075522D" w:rsidP="0075522D">
      <w:pPr>
        <w:pStyle w:val="Listeavsnitt"/>
        <w:numPr>
          <w:ilvl w:val="1"/>
          <w:numId w:val="4"/>
        </w:numPr>
      </w:pPr>
      <w:r>
        <w:t>Ikke kan å ta til seg væske (faste før narkose)</w:t>
      </w:r>
      <w:r w:rsidR="00762AA4">
        <w:t xml:space="preserve"> </w:t>
      </w:r>
    </w:p>
    <w:p w:rsidR="0075522D" w:rsidRDefault="0075522D" w:rsidP="0075522D">
      <w:pPr>
        <w:pStyle w:val="Listeavsnitt"/>
        <w:numPr>
          <w:ilvl w:val="1"/>
          <w:numId w:val="4"/>
        </w:numPr>
      </w:pPr>
      <w:r>
        <w:t>Blødning</w:t>
      </w:r>
    </w:p>
    <w:p w:rsidR="0075522D" w:rsidRDefault="0075522D" w:rsidP="0075522D">
      <w:pPr>
        <w:pStyle w:val="Listeavsnitt"/>
        <w:numPr>
          <w:ilvl w:val="1"/>
          <w:numId w:val="4"/>
        </w:numPr>
      </w:pPr>
      <w:r>
        <w:t>Peroperativt</w:t>
      </w:r>
    </w:p>
    <w:p w:rsidR="0075522D" w:rsidRDefault="0075522D" w:rsidP="0075522D">
      <w:pPr>
        <w:pStyle w:val="Listeavsnitt"/>
        <w:numPr>
          <w:ilvl w:val="0"/>
          <w:numId w:val="4"/>
        </w:numPr>
      </w:pPr>
      <w:r>
        <w:t>Medikamentadministering</w:t>
      </w:r>
    </w:p>
    <w:p w:rsidR="0075522D" w:rsidRDefault="0075522D" w:rsidP="0075522D">
      <w:pPr>
        <w:pStyle w:val="Listeavsnitt"/>
        <w:numPr>
          <w:ilvl w:val="1"/>
          <w:numId w:val="4"/>
        </w:numPr>
      </w:pPr>
      <w:r>
        <w:t xml:space="preserve">Dersom pasienten ikke klarer å ta til seg medikamentet per os (eks. bevisstløse pasienter) eller hvor medikamentet må tas i.v. da det ikke finnes i en form som kan inntas per os. </w:t>
      </w:r>
    </w:p>
    <w:p w:rsidR="0075522D" w:rsidRDefault="0075522D" w:rsidP="0075522D">
      <w:pPr>
        <w:pStyle w:val="Listeavsnitt"/>
        <w:numPr>
          <w:ilvl w:val="0"/>
          <w:numId w:val="4"/>
        </w:numPr>
      </w:pPr>
      <w:r>
        <w:t>Blodtransfusjon</w:t>
      </w:r>
    </w:p>
    <w:p w:rsidR="0075522D" w:rsidRDefault="0075522D" w:rsidP="0075522D">
      <w:pPr>
        <w:pStyle w:val="Listeavsnitt"/>
        <w:numPr>
          <w:ilvl w:val="1"/>
          <w:numId w:val="4"/>
        </w:numPr>
      </w:pPr>
      <w:r>
        <w:t xml:space="preserve">Viktig at det er stor nok diameter på venekanylen. Det skal være grønn eller større. </w:t>
      </w:r>
    </w:p>
    <w:p w:rsidR="0075522D" w:rsidRDefault="0075522D" w:rsidP="0075522D">
      <w:pPr>
        <w:pStyle w:val="Listeavsnitt"/>
        <w:numPr>
          <w:ilvl w:val="0"/>
          <w:numId w:val="4"/>
        </w:numPr>
      </w:pPr>
      <w:r>
        <w:t>Beredskap</w:t>
      </w:r>
    </w:p>
    <w:p w:rsidR="0075522D" w:rsidRDefault="0075522D" w:rsidP="0075522D">
      <w:pPr>
        <w:pStyle w:val="Listeavsnitt"/>
        <w:numPr>
          <w:ilvl w:val="1"/>
          <w:numId w:val="4"/>
        </w:numPr>
      </w:pPr>
      <w:r>
        <w:t xml:space="preserve">Dersom pas. er i fare for å bli kritisk dårlig </w:t>
      </w:r>
      <w:r w:rsidR="00184498">
        <w:t xml:space="preserve"> </w:t>
      </w:r>
    </w:p>
    <w:p w:rsidR="0075522D" w:rsidRPr="00EF7B8D" w:rsidRDefault="0075522D" w:rsidP="0075522D">
      <w:pPr>
        <w:pStyle w:val="Overskrift2"/>
        <w:rPr>
          <w:sz w:val="40"/>
          <w:szCs w:val="40"/>
        </w:rPr>
      </w:pPr>
      <w:r w:rsidRPr="00EF7B8D">
        <w:rPr>
          <w:sz w:val="40"/>
          <w:szCs w:val="40"/>
        </w:rPr>
        <w:t>Fremgangsmåte:</w:t>
      </w:r>
    </w:p>
    <w:p w:rsidR="0075522D" w:rsidRPr="000D21CD" w:rsidRDefault="0075522D" w:rsidP="0075522D">
      <w:pPr>
        <w:widowControl w:val="0"/>
        <w:autoSpaceDE w:val="0"/>
        <w:autoSpaceDN w:val="0"/>
        <w:adjustRightInd w:val="0"/>
        <w:rPr>
          <w:rFonts w:cs="Arial"/>
          <w:noProof w:val="0"/>
          <w:lang w:val="en-US"/>
        </w:rPr>
      </w:pPr>
      <w:proofErr w:type="spellStart"/>
      <w:r w:rsidRPr="000D21CD">
        <w:rPr>
          <w:rFonts w:cs="Arial"/>
          <w:noProof w:val="0"/>
          <w:lang w:val="en-US"/>
        </w:rPr>
        <w:t>Informér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pasienten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proofErr w:type="gramStart"/>
      <w:r w:rsidRPr="000D21CD">
        <w:rPr>
          <w:rFonts w:cs="Arial"/>
          <w:noProof w:val="0"/>
          <w:lang w:val="en-US"/>
        </w:rPr>
        <w:t>om</w:t>
      </w:r>
      <w:proofErr w:type="spellEnd"/>
      <w:proofErr w:type="gram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hva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som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skal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skje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og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hvorfor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venekanylen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blir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innlagt</w:t>
      </w:r>
      <w:proofErr w:type="spellEnd"/>
      <w:r w:rsidRPr="000D21CD">
        <w:rPr>
          <w:rFonts w:cs="Arial"/>
          <w:noProof w:val="0"/>
          <w:lang w:val="en-US"/>
        </w:rPr>
        <w:t xml:space="preserve">. </w:t>
      </w:r>
      <w:proofErr w:type="spellStart"/>
      <w:r w:rsidRPr="000D21CD">
        <w:rPr>
          <w:rFonts w:cs="Arial"/>
          <w:noProof w:val="0"/>
          <w:lang w:val="en-US"/>
        </w:rPr>
        <w:t>Etter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inspeksjon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proofErr w:type="gramStart"/>
      <w:r w:rsidRPr="000D21CD">
        <w:rPr>
          <w:rFonts w:cs="Arial"/>
          <w:noProof w:val="0"/>
          <w:lang w:val="en-US"/>
        </w:rPr>
        <w:t>og</w:t>
      </w:r>
      <w:proofErr w:type="spellEnd"/>
      <w:proofErr w:type="gram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palpasjon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velges</w:t>
      </w:r>
      <w:proofErr w:type="spellEnd"/>
      <w:r w:rsidRPr="000D21CD">
        <w:rPr>
          <w:rFonts w:cs="Arial"/>
          <w:noProof w:val="0"/>
          <w:lang w:val="en-US"/>
        </w:rPr>
        <w:t xml:space="preserve"> den </w:t>
      </w:r>
      <w:proofErr w:type="spellStart"/>
      <w:r w:rsidRPr="000D21CD">
        <w:rPr>
          <w:rFonts w:cs="Arial"/>
          <w:noProof w:val="0"/>
          <w:lang w:val="en-US"/>
        </w:rPr>
        <w:t>mest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egnede</w:t>
      </w:r>
      <w:proofErr w:type="spellEnd"/>
      <w:r w:rsidRPr="000D21CD">
        <w:rPr>
          <w:rFonts w:cs="Arial"/>
          <w:noProof w:val="0"/>
          <w:lang w:val="en-US"/>
        </w:rPr>
        <w:t xml:space="preserve"> </w:t>
      </w:r>
      <w:proofErr w:type="spellStart"/>
      <w:r w:rsidRPr="000D21CD">
        <w:rPr>
          <w:rFonts w:cs="Arial"/>
          <w:noProof w:val="0"/>
          <w:lang w:val="en-US"/>
        </w:rPr>
        <w:t>venen</w:t>
      </w:r>
      <w:proofErr w:type="spellEnd"/>
      <w:r w:rsidRPr="000D21CD">
        <w:rPr>
          <w:rFonts w:cs="Arial"/>
          <w:noProof w:val="0"/>
          <w:lang w:val="en-US"/>
        </w:rPr>
        <w:t xml:space="preserve">. </w:t>
      </w:r>
    </w:p>
    <w:p w:rsidR="0075522D" w:rsidRDefault="0075522D" w:rsidP="0075522D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32"/>
          <w:szCs w:val="32"/>
          <w:lang w:val="en-US"/>
        </w:rPr>
      </w:pPr>
    </w:p>
    <w:p w:rsidR="0075522D" w:rsidRPr="00EF7B8D" w:rsidRDefault="0075522D" w:rsidP="0075522D">
      <w:pPr>
        <w:widowControl w:val="0"/>
        <w:autoSpaceDE w:val="0"/>
        <w:autoSpaceDN w:val="0"/>
        <w:adjustRightInd w:val="0"/>
        <w:rPr>
          <w:rFonts w:asciiTheme="majorHAnsi" w:hAnsiTheme="majorHAnsi"/>
          <w:color w:val="4F81BD" w:themeColor="accent1"/>
          <w:sz w:val="40"/>
          <w:szCs w:val="40"/>
        </w:rPr>
      </w:pPr>
      <w:r w:rsidRPr="00EF7B8D">
        <w:rPr>
          <w:rFonts w:asciiTheme="majorHAnsi" w:hAnsiTheme="majorHAnsi"/>
          <w:color w:val="4F81BD" w:themeColor="accent1"/>
          <w:sz w:val="40"/>
          <w:szCs w:val="40"/>
        </w:rPr>
        <w:t>Utstyr</w:t>
      </w:r>
    </w:p>
    <w:p w:rsidR="0075522D" w:rsidRDefault="0075522D" w:rsidP="0075522D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Hansker</w:t>
      </w:r>
      <w:proofErr w:type="spellEnd"/>
    </w:p>
    <w:p w:rsidR="0075522D" w:rsidRDefault="0075522D" w:rsidP="0075522D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Staseslange</w:t>
      </w:r>
      <w:proofErr w:type="spellEnd"/>
    </w:p>
    <w:p w:rsidR="0075522D" w:rsidRDefault="0075522D" w:rsidP="0075522D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Venekanyler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i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ulik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størrelse</w:t>
      </w:r>
      <w:proofErr w:type="spellEnd"/>
    </w:p>
    <w:p w:rsidR="0075522D" w:rsidRDefault="0075522D" w:rsidP="0075522D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Klorhexidin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og</w:t>
      </w:r>
      <w:proofErr w:type="spellEnd"/>
      <w:r>
        <w:rPr>
          <w:rFonts w:ascii="Arial" w:hAnsi="Arial" w:cs="Arial"/>
          <w:noProof w:val="0"/>
          <w:lang w:val="en-US"/>
        </w:rPr>
        <w:t xml:space="preserve"> sterile </w:t>
      </w:r>
      <w:proofErr w:type="spellStart"/>
      <w:r>
        <w:rPr>
          <w:rFonts w:ascii="Arial" w:hAnsi="Arial" w:cs="Arial"/>
          <w:noProof w:val="0"/>
          <w:lang w:val="en-US"/>
        </w:rPr>
        <w:t>tupfere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eller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alkoholserivett</w:t>
      </w:r>
      <w:proofErr w:type="spellEnd"/>
    </w:p>
    <w:p w:rsidR="0075522D" w:rsidRDefault="0075522D" w:rsidP="0075522D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Tegaderm</w:t>
      </w:r>
      <w:proofErr w:type="spellEnd"/>
      <w:r>
        <w:rPr>
          <w:rFonts w:ascii="Arial" w:hAnsi="Arial" w:cs="Arial"/>
          <w:noProof w:val="0"/>
          <w:lang w:val="en-US"/>
        </w:rPr>
        <w:t>/</w:t>
      </w:r>
      <w:proofErr w:type="spellStart"/>
      <w:r>
        <w:rPr>
          <w:rFonts w:ascii="Arial" w:hAnsi="Arial" w:cs="Arial"/>
          <w:noProof w:val="0"/>
          <w:lang w:val="en-US"/>
        </w:rPr>
        <w:t>fikseringsteip</w:t>
      </w:r>
      <w:proofErr w:type="spellEnd"/>
    </w:p>
    <w:p w:rsidR="0075522D" w:rsidRDefault="0075522D" w:rsidP="0075522D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Bomullsdott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og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teip</w:t>
      </w:r>
      <w:proofErr w:type="spellEnd"/>
      <w:r>
        <w:rPr>
          <w:rFonts w:ascii="Arial" w:hAnsi="Arial" w:cs="Arial"/>
          <w:noProof w:val="0"/>
          <w:lang w:val="en-US"/>
        </w:rPr>
        <w:t xml:space="preserve"> (</w:t>
      </w:r>
      <w:proofErr w:type="spellStart"/>
      <w:r>
        <w:rPr>
          <w:rFonts w:ascii="Arial" w:hAnsi="Arial" w:cs="Arial"/>
          <w:noProof w:val="0"/>
          <w:lang w:val="en-US"/>
        </w:rPr>
        <w:t>dersom</w:t>
      </w:r>
      <w:proofErr w:type="spellEnd"/>
      <w:r>
        <w:rPr>
          <w:rFonts w:ascii="Arial" w:hAnsi="Arial" w:cs="Arial"/>
          <w:noProof w:val="0"/>
          <w:lang w:val="en-US"/>
        </w:rPr>
        <w:t xml:space="preserve"> du </w:t>
      </w:r>
      <w:proofErr w:type="spellStart"/>
      <w:proofErr w:type="gramStart"/>
      <w:r>
        <w:rPr>
          <w:rFonts w:ascii="Arial" w:hAnsi="Arial" w:cs="Arial"/>
          <w:noProof w:val="0"/>
          <w:lang w:val="en-US"/>
        </w:rPr>
        <w:t>bommer</w:t>
      </w:r>
      <w:proofErr w:type="spellEnd"/>
      <w:r>
        <w:rPr>
          <w:rFonts w:ascii="Arial" w:hAnsi="Arial" w:cs="Arial"/>
          <w:noProof w:val="0"/>
          <w:lang w:val="en-US"/>
        </w:rPr>
        <w:t>……)</w:t>
      </w:r>
      <w:proofErr w:type="gramEnd"/>
    </w:p>
    <w:p w:rsidR="0075522D" w:rsidRDefault="0075522D" w:rsidP="0075522D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Skyllevæske</w:t>
      </w:r>
      <w:proofErr w:type="spellEnd"/>
    </w:p>
    <w:p w:rsidR="0075522D" w:rsidRPr="00EF7B8D" w:rsidRDefault="0075522D" w:rsidP="0075522D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proofErr w:type="spellStart"/>
      <w:r>
        <w:rPr>
          <w:rFonts w:ascii="Arial" w:hAnsi="Arial" w:cs="Arial"/>
          <w:noProof w:val="0"/>
          <w:lang w:val="en-US"/>
        </w:rPr>
        <w:t>Gul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boks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til</w:t>
      </w:r>
      <w:proofErr w:type="spellEnd"/>
      <w:r>
        <w:rPr>
          <w:rFonts w:ascii="Arial" w:hAnsi="Arial" w:cs="Arial"/>
          <w:noProof w:val="0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lang w:val="en-US"/>
        </w:rPr>
        <w:t>nåler</w:t>
      </w:r>
      <w:proofErr w:type="spellEnd"/>
    </w:p>
    <w:p w:rsidR="0075522D" w:rsidRDefault="0075522D" w:rsidP="0075522D">
      <w:pPr>
        <w:pStyle w:val="Overskrift2"/>
      </w:pPr>
    </w:p>
    <w:p w:rsidR="0075522D" w:rsidRPr="00EF7B8D" w:rsidRDefault="0075522D" w:rsidP="0075522D">
      <w:pPr>
        <w:pStyle w:val="Overskrift2"/>
        <w:rPr>
          <w:sz w:val="40"/>
          <w:szCs w:val="40"/>
        </w:rPr>
      </w:pPr>
      <w:r w:rsidRPr="00EF7B8D">
        <w:rPr>
          <w:sz w:val="40"/>
          <w:szCs w:val="40"/>
        </w:rPr>
        <w:t>Prosedyre for PVK v/UUS</w:t>
      </w:r>
    </w:p>
    <w:p w:rsidR="0075522D" w:rsidRDefault="0075522D" w:rsidP="0075522D"/>
    <w:p w:rsidR="00A04AA6" w:rsidRDefault="0075522D" w:rsidP="00A04AA6">
      <w:pPr>
        <w:pStyle w:val="Listeavsnitt"/>
        <w:jc w:val="both"/>
      </w:pPr>
      <w:r>
        <w:rPr>
          <w:rFonts w:ascii="Helvetica" w:hAnsi="Helvetica" w:cs="Helvetica"/>
          <w:lang w:val="en-US"/>
        </w:rPr>
        <w:lastRenderedPageBreak/>
        <w:drawing>
          <wp:inline distT="0" distB="0" distL="0" distR="0" wp14:anchorId="6201677E" wp14:editId="6AEC25B6">
            <wp:extent cx="1270000" cy="927100"/>
            <wp:effectExtent l="0" t="0" r="0" b="1270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>Start med håndvask eller hånddesinfeksjon. Bruk av hansker senker ikke kravet til håndvask(1,2,3,4,5,6). Informér pasienten om prosedyren (2,6).</w:t>
      </w: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>Lag en god arbeidsplass med godt lys og stol i riktig høyde.</w:t>
      </w: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>Klargjør alt du trenger på et avlastningsbord eller nattbord (husk ekstra venekanyle). Sett frem en gul boks (container for skarpe gjenstander) og avfallsbøtte.</w:t>
      </w: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>Bruk rene hansker for egen sikkerhet (1,2,3,6)</w:t>
      </w: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>Velg punksjonssted i nevnte rekkefølge; hånd – arm - fot (1,2,3,5,6). Prøv å unngå ledd for å minske mekanisk irritasjon(2,3,5,6).</w:t>
      </w:r>
    </w:p>
    <w:p w:rsidR="00A04AA6" w:rsidRDefault="0075522D" w:rsidP="00A04AA6">
      <w:pPr>
        <w:pStyle w:val="Listeavsnitt"/>
        <w:jc w:val="both"/>
      </w:pPr>
      <w:r>
        <w:rPr>
          <w:rFonts w:ascii="Helvetica" w:hAnsi="Helvetica" w:cs="Helvetica"/>
          <w:lang w:val="en-US"/>
        </w:rPr>
        <w:drawing>
          <wp:inline distT="0" distB="0" distL="0" distR="0" wp14:anchorId="006FA843" wp14:editId="5696D09B">
            <wp:extent cx="2286000" cy="1663700"/>
            <wp:effectExtent l="0" t="0" r="0" b="1270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>Legg staseslangen proksimalt for planlagt innstikksted (gjerne på overarmen slik at man kan lete etter passende vener både på hånd, arm og albue uten å flytte staseslangen)(2,5). Palpér venen du ønsker å bruke. Hvis det er vanskelig å finne en gunstig vene lønner det seg å vente ett minutt eller to for å få bedret stase. For å få bedre venestase kan man varme eller knytte pasientens hånd og/eller senke armen. Staseslangen skal være stram, men ikke så stram at den hindrer arteriell flow (2,6).</w:t>
      </w:r>
    </w:p>
    <w:p w:rsidR="00A04AA6" w:rsidRDefault="00A04AA6" w:rsidP="00A04AA6">
      <w:pPr>
        <w:jc w:val="both"/>
      </w:pPr>
    </w:p>
    <w:p w:rsidR="00A04AA6" w:rsidRDefault="00A04AA6" w:rsidP="00A04AA6">
      <w:pPr>
        <w:jc w:val="both"/>
      </w:pPr>
    </w:p>
    <w:p w:rsidR="00A04AA6" w:rsidRDefault="0075522D" w:rsidP="00A04AA6">
      <w:pPr>
        <w:pStyle w:val="Listeavsnitt"/>
        <w:jc w:val="both"/>
      </w:pPr>
      <w:r>
        <w:rPr>
          <w:rFonts w:ascii="Helvetica" w:hAnsi="Helvetica" w:cs="Helvetica"/>
          <w:lang w:val="en-US"/>
        </w:rPr>
        <w:drawing>
          <wp:inline distT="0" distB="0" distL="0" distR="0" wp14:anchorId="72CDA1F9" wp14:editId="55CBC6B1">
            <wp:extent cx="2286000" cy="1765300"/>
            <wp:effectExtent l="0" t="0" r="0" b="1270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>Desinfisér punksjonsstedet med klorhexidinsprit 5mg/ml eller desinfeksjonssprit 70%. Bruk sterile tupfere. La desinfeksjonsvæsken tørke på huden. Ikke berør innstikksstedet etter desinfeksjon (1,2,3,4,5,6).</w:t>
      </w:r>
      <w:r w:rsidRPr="00F83836">
        <w:t xml:space="preserve"> </w:t>
      </w: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>Velg venekanyle av passende dimensjon avhengig av hvor rask infusjonshastighet som er ønsket, men generelt velges den minste venekanylen som gir tilstrekkelig infusjonshastighet. (2,3,5,6).</w:t>
      </w:r>
    </w:p>
    <w:p w:rsidR="0075522D" w:rsidRPr="00162F4C" w:rsidRDefault="0075522D" w:rsidP="0075522D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noProof w:val="0"/>
          <w:lang w:val="en-US"/>
        </w:rPr>
      </w:pPr>
      <w:proofErr w:type="spellStart"/>
      <w:r w:rsidRPr="0066061A">
        <w:rPr>
          <w:rFonts w:ascii="Helvetica" w:hAnsi="Helvetica" w:cs="Helvetica"/>
          <w:b/>
          <w:bCs/>
          <w:noProof w:val="0"/>
          <w:color w:val="252526"/>
          <w:lang w:val="en-US"/>
        </w:rPr>
        <w:t>Valg</w:t>
      </w:r>
      <w:proofErr w:type="spellEnd"/>
      <w:r w:rsidRPr="0066061A">
        <w:rPr>
          <w:rFonts w:ascii="Helvetica" w:hAnsi="Helvetica" w:cs="Helvetica"/>
          <w:b/>
          <w:bCs/>
          <w:noProof w:val="0"/>
          <w:color w:val="252526"/>
          <w:lang w:val="en-US"/>
        </w:rPr>
        <w:t xml:space="preserve"> </w:t>
      </w:r>
      <w:proofErr w:type="spellStart"/>
      <w:r w:rsidRPr="0066061A">
        <w:rPr>
          <w:rFonts w:ascii="Helvetica" w:hAnsi="Helvetica" w:cs="Helvetica"/>
          <w:b/>
          <w:bCs/>
          <w:noProof w:val="0"/>
          <w:color w:val="252526"/>
          <w:lang w:val="en-US"/>
        </w:rPr>
        <w:t>av</w:t>
      </w:r>
      <w:proofErr w:type="spellEnd"/>
      <w:r w:rsidRPr="0066061A">
        <w:rPr>
          <w:rFonts w:ascii="Helvetica" w:hAnsi="Helvetica" w:cs="Helvetica"/>
          <w:b/>
          <w:bCs/>
          <w:noProof w:val="0"/>
          <w:color w:val="252526"/>
          <w:lang w:val="en-US"/>
        </w:rPr>
        <w:t xml:space="preserve"> </w:t>
      </w:r>
      <w:proofErr w:type="spellStart"/>
      <w:r w:rsidRPr="0066061A">
        <w:rPr>
          <w:rFonts w:ascii="Helvetica" w:hAnsi="Helvetica" w:cs="Helvetica"/>
          <w:b/>
          <w:bCs/>
          <w:noProof w:val="0"/>
          <w:color w:val="252526"/>
          <w:lang w:val="en-US"/>
        </w:rPr>
        <w:t>størrelse</w:t>
      </w:r>
      <w:proofErr w:type="spellEnd"/>
      <w:r w:rsidRPr="0066061A">
        <w:rPr>
          <w:rFonts w:ascii="Helvetica" w:hAnsi="Helvetica" w:cs="Helvetica"/>
          <w:b/>
          <w:bCs/>
          <w:noProof w:val="0"/>
          <w:color w:val="252526"/>
          <w:lang w:val="en-US"/>
        </w:rPr>
        <w:t>:</w:t>
      </w:r>
      <w:r w:rsidRPr="0066061A">
        <w:rPr>
          <w:rFonts w:ascii="Helvetica" w:hAnsi="Helvetica" w:cs="Helvetica"/>
          <w:noProof w:val="0"/>
          <w:color w:val="252526"/>
          <w:lang w:val="en-US"/>
        </w:rPr>
        <w:t> </w:t>
      </w:r>
    </w:p>
    <w:p w:rsidR="0075522D" w:rsidRPr="00A03FD1" w:rsidRDefault="0075522D" w:rsidP="0075522D">
      <w:pPr>
        <w:pStyle w:val="Listeavsnitt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Helvetica"/>
          <w:noProof w:val="0"/>
          <w:lang w:val="en-US"/>
        </w:rPr>
      </w:pPr>
      <w:r w:rsidRPr="0066061A">
        <w:rPr>
          <w:rFonts w:ascii="Helvetica" w:hAnsi="Helvetica" w:cs="Helvetica"/>
          <w:noProof w:val="0"/>
          <w:color w:val="252526"/>
          <w:lang w:val="en-US"/>
        </w:rPr>
        <w:t xml:space="preserve">Hos barn </w:t>
      </w:r>
      <w:proofErr w:type="spellStart"/>
      <w:r w:rsidRPr="0066061A">
        <w:rPr>
          <w:rFonts w:ascii="Helvetica" w:hAnsi="Helvetica" w:cs="Helvetica"/>
          <w:noProof w:val="0"/>
          <w:color w:val="252526"/>
          <w:lang w:val="en-US"/>
        </w:rPr>
        <w:t>brukes</w:t>
      </w:r>
      <w:proofErr w:type="spellEnd"/>
      <w:r w:rsidRPr="0066061A"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 w:rsidRPr="0066061A">
        <w:rPr>
          <w:rFonts w:ascii="Helvetica" w:hAnsi="Helvetica" w:cs="Helvetica"/>
          <w:noProof w:val="0"/>
          <w:color w:val="252526"/>
          <w:lang w:val="en-US"/>
        </w:rPr>
        <w:t>blå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eller</w:t>
      </w:r>
      <w:proofErr w:type="spellEnd"/>
      <w:r w:rsidRPr="0066061A"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proofErr w:type="gramStart"/>
      <w:r w:rsidRPr="0066061A">
        <w:rPr>
          <w:rFonts w:ascii="Helvetica" w:hAnsi="Helvetica" w:cs="Helvetica"/>
          <w:noProof w:val="0"/>
          <w:color w:val="252526"/>
          <w:lang w:val="en-US"/>
        </w:rPr>
        <w:t>rosa</w:t>
      </w:r>
      <w:proofErr w:type="spellEnd"/>
      <w:proofErr w:type="gramEnd"/>
      <w:r w:rsidRPr="0066061A"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 w:rsidRPr="0066061A">
        <w:rPr>
          <w:rFonts w:ascii="Helvetica" w:hAnsi="Helvetica" w:cs="Helvetica"/>
          <w:noProof w:val="0"/>
          <w:color w:val="252526"/>
          <w:lang w:val="en-US"/>
        </w:rPr>
        <w:t>eller</w:t>
      </w:r>
      <w:proofErr w:type="spellEnd"/>
      <w:r w:rsidRPr="0066061A"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 w:rsidRPr="0066061A">
        <w:rPr>
          <w:rFonts w:ascii="Helvetica" w:hAnsi="Helvetica" w:cs="Helvetica"/>
          <w:noProof w:val="0"/>
          <w:color w:val="252526"/>
          <w:lang w:val="en-US"/>
        </w:rPr>
        <w:t>venekanyle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(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det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finnes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egne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venekanyler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for de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nyfødte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>)</w:t>
      </w:r>
      <w:r w:rsidRPr="0066061A">
        <w:rPr>
          <w:rFonts w:ascii="Helvetica" w:hAnsi="Helvetica" w:cs="Helvetica"/>
          <w:noProof w:val="0"/>
          <w:color w:val="252526"/>
          <w:lang w:val="en-US"/>
        </w:rPr>
        <w:t xml:space="preserve">. Hos </w:t>
      </w:r>
      <w:proofErr w:type="spellStart"/>
      <w:r w:rsidRPr="0066061A">
        <w:rPr>
          <w:rFonts w:ascii="Helvetica" w:hAnsi="Helvetica" w:cs="Helvetica"/>
          <w:noProof w:val="0"/>
          <w:color w:val="252526"/>
          <w:lang w:val="en-US"/>
        </w:rPr>
        <w:t>voksne</w:t>
      </w:r>
      <w:proofErr w:type="spellEnd"/>
      <w:r w:rsidRPr="0066061A"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noProof w:val="0"/>
          <w:color w:val="252526"/>
          <w:lang w:val="en-US"/>
        </w:rPr>
        <w:t>kan</w:t>
      </w:r>
      <w:proofErr w:type="spellEnd"/>
      <w:proofErr w:type="gramEnd"/>
      <w:r>
        <w:rPr>
          <w:rFonts w:ascii="Helvetica" w:hAnsi="Helvetica" w:cs="Helvetica"/>
          <w:noProof w:val="0"/>
          <w:color w:val="252526"/>
          <w:lang w:val="en-US"/>
        </w:rPr>
        <w:t xml:space="preserve"> du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bruke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alt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fra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blå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og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oppover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. NB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det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kommer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noProof w:val="0"/>
          <w:color w:val="252526"/>
          <w:lang w:val="en-US"/>
        </w:rPr>
        <w:t>ann</w:t>
      </w:r>
      <w:proofErr w:type="spellEnd"/>
      <w:proofErr w:type="gram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på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hva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du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skal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ha inn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av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væske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mtp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.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Valg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av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væske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>/</w:t>
      </w:r>
      <w:proofErr w:type="spellStart"/>
      <w:r>
        <w:rPr>
          <w:rFonts w:ascii="Helvetica" w:hAnsi="Helvetica" w:cs="Helvetica"/>
          <w:noProof w:val="0"/>
          <w:color w:val="252526"/>
          <w:lang w:val="en-US"/>
        </w:rPr>
        <w:t>blod</w:t>
      </w:r>
      <w:proofErr w:type="spellEnd"/>
      <w:r>
        <w:rPr>
          <w:rFonts w:ascii="Helvetica" w:hAnsi="Helvetica" w:cs="Helvetica"/>
          <w:noProof w:val="0"/>
          <w:color w:val="252526"/>
          <w:lang w:val="en-US"/>
        </w:rPr>
        <w:t>/</w:t>
      </w:r>
      <w:proofErr w:type="spellStart"/>
      <w:r w:rsidRPr="0066061A">
        <w:rPr>
          <w:rFonts w:ascii="Helvetica" w:hAnsi="Helvetica" w:cs="Helvetica"/>
          <w:noProof w:val="0"/>
          <w:color w:val="252526"/>
          <w:lang w:val="en-US"/>
        </w:rPr>
        <w:t>aggressiv</w:t>
      </w:r>
      <w:proofErr w:type="spellEnd"/>
      <w:r w:rsidRPr="0066061A"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 w:rsidRPr="0066061A">
        <w:rPr>
          <w:rFonts w:ascii="Helvetica" w:hAnsi="Helvetica" w:cs="Helvetica"/>
          <w:noProof w:val="0"/>
          <w:color w:val="252526"/>
          <w:lang w:val="en-US"/>
        </w:rPr>
        <w:t>væsketerapi</w:t>
      </w:r>
      <w:proofErr w:type="spellEnd"/>
      <w:r w:rsidRPr="0066061A">
        <w:rPr>
          <w:rFonts w:ascii="Helvetica" w:hAnsi="Helvetica" w:cs="Helvetica"/>
          <w:noProof w:val="0"/>
          <w:color w:val="252526"/>
          <w:lang w:val="en-US"/>
        </w:rPr>
        <w:t xml:space="preserve">, </w:t>
      </w:r>
      <w:proofErr w:type="spellStart"/>
      <w:r w:rsidRPr="0066061A">
        <w:rPr>
          <w:rFonts w:ascii="Helvetica" w:hAnsi="Helvetica" w:cs="Helvetica"/>
          <w:noProof w:val="0"/>
          <w:color w:val="252526"/>
          <w:lang w:val="en-US"/>
        </w:rPr>
        <w:t>bruk</w:t>
      </w:r>
      <w:proofErr w:type="spellEnd"/>
      <w:r w:rsidRPr="0066061A"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 w:rsidRPr="0066061A">
        <w:rPr>
          <w:rFonts w:ascii="Helvetica" w:hAnsi="Helvetica" w:cs="Helvetica"/>
          <w:noProof w:val="0"/>
          <w:color w:val="252526"/>
          <w:lang w:val="en-US"/>
        </w:rPr>
        <w:t>grov</w:t>
      </w:r>
      <w:proofErr w:type="spellEnd"/>
      <w:r w:rsidRPr="0066061A">
        <w:rPr>
          <w:rFonts w:ascii="Helvetica" w:hAnsi="Helvetica" w:cs="Helvetica"/>
          <w:noProof w:val="0"/>
          <w:color w:val="252526"/>
          <w:lang w:val="en-US"/>
        </w:rPr>
        <w:t xml:space="preserve"> </w:t>
      </w:r>
      <w:proofErr w:type="spellStart"/>
      <w:r w:rsidRPr="0066061A">
        <w:rPr>
          <w:rFonts w:ascii="Helvetica" w:hAnsi="Helvetica" w:cs="Helvetica"/>
          <w:noProof w:val="0"/>
          <w:color w:val="252526"/>
          <w:lang w:val="en-US"/>
        </w:rPr>
        <w:t>kanyle</w:t>
      </w:r>
      <w:proofErr w:type="spellEnd"/>
      <w:r w:rsidRPr="0066061A">
        <w:rPr>
          <w:rFonts w:ascii="Helvetica" w:hAnsi="Helvetica" w:cs="Helvetica"/>
          <w:noProof w:val="0"/>
          <w:color w:val="252526"/>
          <w:lang w:val="en-US"/>
        </w:rPr>
        <w:t>.</w:t>
      </w:r>
    </w:p>
    <w:p w:rsidR="00A03FD1" w:rsidRDefault="00A03FD1" w:rsidP="00A03FD1">
      <w:pPr>
        <w:pStyle w:val="Listeavsnitt"/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noProof w:val="0"/>
          <w:color w:val="252526"/>
          <w:lang w:val="en-US"/>
        </w:rPr>
      </w:pPr>
    </w:p>
    <w:p w:rsidR="00A03FD1" w:rsidRDefault="00A03FD1" w:rsidP="00A03FD1">
      <w:pPr>
        <w:pStyle w:val="Listeavsnitt"/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noProof w:val="0"/>
          <w:color w:val="252526"/>
          <w:lang w:val="en-US"/>
        </w:rPr>
      </w:pPr>
    </w:p>
    <w:p w:rsidR="00A03FD1" w:rsidRDefault="00A03FD1" w:rsidP="00A03FD1">
      <w:pPr>
        <w:pStyle w:val="Listeavsnitt"/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noProof w:val="0"/>
          <w:color w:val="252526"/>
          <w:lang w:val="en-US"/>
        </w:rPr>
      </w:pPr>
    </w:p>
    <w:p w:rsidR="00A03FD1" w:rsidRDefault="00A03FD1" w:rsidP="00A03FD1">
      <w:pPr>
        <w:pStyle w:val="Listeavsnitt"/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noProof w:val="0"/>
          <w:lang w:val="en-US"/>
        </w:rPr>
      </w:pPr>
    </w:p>
    <w:p w:rsidR="00062B04" w:rsidRPr="0066061A" w:rsidRDefault="00062B04" w:rsidP="00A03FD1">
      <w:pPr>
        <w:pStyle w:val="Listeavsnitt"/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noProof w:val="0"/>
          <w:lang w:val="en-US"/>
        </w:rPr>
      </w:pPr>
      <w:r>
        <w:rPr>
          <w:rFonts w:ascii="Helvetica" w:hAnsi="Helvetica" w:cs="Helvetica"/>
          <w:noProof w:val="0"/>
          <w:lang w:val="en-US"/>
        </w:rPr>
        <w:br w:type="column"/>
      </w:r>
    </w:p>
    <w:p w:rsidR="0075522D" w:rsidRPr="0066061A" w:rsidRDefault="0075522D" w:rsidP="0075522D">
      <w:pPr>
        <w:widowControl w:val="0"/>
        <w:autoSpaceDE w:val="0"/>
        <w:autoSpaceDN w:val="0"/>
        <w:adjustRightInd w:val="0"/>
        <w:ind w:left="1080"/>
        <w:rPr>
          <w:rFonts w:ascii="Helvetica" w:hAnsi="Helvetica" w:cs="Helvetica"/>
          <w:noProof w:val="0"/>
          <w:lang w:val="en-US"/>
        </w:rPr>
      </w:pPr>
    </w:p>
    <w:tbl>
      <w:tblPr>
        <w:tblW w:w="5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320"/>
      </w:tblGrid>
      <w:tr w:rsidR="0075522D" w:rsidTr="0047607B">
        <w:trPr>
          <w:trHeight w:val="300"/>
        </w:trPr>
        <w:tc>
          <w:tcPr>
            <w:tcW w:w="13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5522D" w:rsidRDefault="0075522D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Diameter</w:t>
            </w:r>
          </w:p>
        </w:tc>
        <w:tc>
          <w:tcPr>
            <w:tcW w:w="13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5522D" w:rsidRDefault="0075522D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Farge</w:t>
            </w:r>
          </w:p>
        </w:tc>
        <w:tc>
          <w:tcPr>
            <w:tcW w:w="33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5522D" w:rsidRDefault="0075522D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Max infusjonshastighet mL/min</w:t>
            </w:r>
          </w:p>
        </w:tc>
      </w:tr>
      <w:tr w:rsidR="0075522D" w:rsidTr="0047607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75522D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0,6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75522D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Gul (=Neoflon 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5522D" w:rsidRDefault="0075522D" w:rsidP="0047607B">
            <w:pPr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24</w:t>
            </w:r>
          </w:p>
        </w:tc>
      </w:tr>
      <w:tr w:rsidR="0075522D" w:rsidTr="0047607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A75749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0,9</w:t>
            </w:r>
            <w:r w:rsidR="0075522D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75522D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Blå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5522D" w:rsidRDefault="00A75749" w:rsidP="0047607B">
            <w:pPr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42</w:t>
            </w:r>
          </w:p>
        </w:tc>
      </w:tr>
      <w:tr w:rsidR="0075522D" w:rsidTr="0047607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A75749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1,1</w:t>
            </w:r>
            <w:r w:rsidR="0075522D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75522D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Rosa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5522D" w:rsidRDefault="00A75749" w:rsidP="0047607B">
            <w:pPr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67</w:t>
            </w:r>
          </w:p>
        </w:tc>
      </w:tr>
      <w:tr w:rsidR="0075522D" w:rsidTr="0047607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A75749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1,3</w:t>
            </w:r>
            <w:r w:rsidR="0075522D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75522D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Grønn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5522D" w:rsidRDefault="00A75749" w:rsidP="0047607B">
            <w:pPr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103</w:t>
            </w:r>
          </w:p>
        </w:tc>
      </w:tr>
      <w:tr w:rsidR="0075522D" w:rsidTr="0047607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A75749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1,5</w:t>
            </w:r>
            <w:r w:rsidR="0075522D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75522D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Hvit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5522D" w:rsidRDefault="0075522D" w:rsidP="00A75749">
            <w:pPr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 </w:t>
            </w:r>
            <w:r w:rsidR="00A75749">
              <w:rPr>
                <w:rFonts w:ascii="Calibri" w:eastAsia="Times New Roman" w:hAnsi="Calibri" w:cs="Times New Roman"/>
                <w:b/>
                <w:bCs/>
                <w:color w:val="3F3F3F"/>
              </w:rPr>
              <w:t>133</w:t>
            </w:r>
          </w:p>
        </w:tc>
      </w:tr>
      <w:tr w:rsidR="0075522D" w:rsidTr="0047607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A75749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1,8</w:t>
            </w:r>
            <w:r w:rsidR="0075522D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75522D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Grå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5522D" w:rsidRDefault="00024F86" w:rsidP="0047607B">
            <w:pPr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236</w:t>
            </w:r>
          </w:p>
        </w:tc>
      </w:tr>
      <w:tr w:rsidR="0075522D" w:rsidTr="0047607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75522D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2,0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5522D" w:rsidRDefault="0075522D" w:rsidP="0047607B">
            <w:pPr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Oransje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5522D" w:rsidRDefault="0075522D" w:rsidP="0047607B">
            <w:pPr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250</w:t>
            </w:r>
          </w:p>
        </w:tc>
      </w:tr>
    </w:tbl>
    <w:p w:rsidR="0075522D" w:rsidRDefault="0075522D" w:rsidP="0075522D">
      <w:pPr>
        <w:jc w:val="both"/>
      </w:pPr>
      <w:r>
        <w:tab/>
      </w:r>
      <w:r>
        <w:tab/>
      </w:r>
    </w:p>
    <w:p w:rsidR="0075522D" w:rsidRPr="009E129E" w:rsidRDefault="0075522D" w:rsidP="0075522D">
      <w:pPr>
        <w:ind w:firstLine="708"/>
      </w:pPr>
      <w:r>
        <w:rPr>
          <w:rFonts w:ascii="Helvetica" w:hAnsi="Helvetica" w:cs="Helvetica"/>
          <w:lang w:val="en-US"/>
        </w:rPr>
        <w:drawing>
          <wp:inline distT="0" distB="0" distL="0" distR="0" wp14:anchorId="05924A3F" wp14:editId="58371379">
            <wp:extent cx="2286000" cy="1257300"/>
            <wp:effectExtent l="0" t="0" r="0" b="1270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rPr>
          <w:rFonts w:ascii="Helvetica" w:hAnsi="Helvetica" w:cs="Helvetica"/>
          <w:lang w:val="en-US"/>
        </w:rPr>
        <w:t>Pakk ut venekanylen og brett ut vingene.</w:t>
      </w: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rPr>
          <w:rFonts w:ascii="Helvetica" w:hAnsi="Helvetica" w:cs="Helvetica"/>
          <w:lang w:val="en-US"/>
        </w:rPr>
        <w:drawing>
          <wp:inline distT="0" distB="0" distL="0" distR="0" wp14:anchorId="53F2F8D3" wp14:editId="2B4097C3">
            <wp:extent cx="2286000" cy="1689100"/>
            <wp:effectExtent l="0" t="0" r="0" b="1270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Fiksér venen ved å stramme huden med tommelen i venens lengderetning(5). Det er svært viktig med god fiksering for å unngå ”rullende årer”.</w:t>
      </w:r>
    </w:p>
    <w:p w:rsidR="0075522D" w:rsidRDefault="0075522D" w:rsidP="0075522D">
      <w:pPr>
        <w:pStyle w:val="Listeavsnitt"/>
        <w:jc w:val="both"/>
      </w:pPr>
    </w:p>
    <w:p w:rsidR="0075522D" w:rsidRDefault="0075522D" w:rsidP="0075522D">
      <w:pPr>
        <w:pStyle w:val="Listeavsnitt"/>
        <w:jc w:val="both"/>
      </w:pPr>
      <w:r>
        <w:rPr>
          <w:rFonts w:ascii="Helvetica" w:hAnsi="Helvetica" w:cs="Helvetica"/>
          <w:lang w:val="en-US"/>
        </w:rPr>
        <w:drawing>
          <wp:inline distT="0" distB="0" distL="0" distR="0" wp14:anchorId="680AD6E6" wp14:editId="02E32534">
            <wp:extent cx="2286000" cy="1841500"/>
            <wp:effectExtent l="0" t="0" r="0" b="1270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2D" w:rsidRDefault="0075522D" w:rsidP="0075522D">
      <w:pPr>
        <w:jc w:val="both"/>
      </w:pP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 xml:space="preserve">Stikk hurtig gjennom huden gjerne rett over venen. </w:t>
      </w:r>
    </w:p>
    <w:p w:rsidR="0075522D" w:rsidRDefault="0075522D" w:rsidP="0075522D">
      <w:pPr>
        <w:jc w:val="both"/>
      </w:pPr>
    </w:p>
    <w:p w:rsidR="0075522D" w:rsidRDefault="0075522D" w:rsidP="0075522D">
      <w:pPr>
        <w:pStyle w:val="Listeavsnitt"/>
        <w:jc w:val="both"/>
      </w:pPr>
      <w:r>
        <w:rPr>
          <w:rFonts w:ascii="Helvetica" w:hAnsi="Helvetica" w:cs="Helvetica"/>
          <w:lang w:val="en-US"/>
        </w:rPr>
        <w:drawing>
          <wp:inline distT="0" distB="0" distL="0" distR="0" wp14:anchorId="5F16E1BA" wp14:editId="0BDE925D">
            <wp:extent cx="2286000" cy="1816100"/>
            <wp:effectExtent l="0" t="0" r="0" b="1270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2D" w:rsidRDefault="0075522D" w:rsidP="0075522D">
      <w:pPr>
        <w:jc w:val="both"/>
      </w:pP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 xml:space="preserve">Når det kommer blodsvar føres mandrengen ytterligere 2-3 mm inn i venen for å sikre at selve kateterspissen er inne i venen (husk at kateterspissen ligger 1-3 mm bak mandrengspissen). Deretter føres kateteret inn i venen samtidig som mandrengen holdes i ro. </w:t>
      </w:r>
    </w:p>
    <w:p w:rsidR="0075522D" w:rsidRDefault="0075522D" w:rsidP="0075522D">
      <w:pPr>
        <w:jc w:val="both"/>
      </w:pPr>
    </w:p>
    <w:p w:rsidR="0075522D" w:rsidRDefault="0075522D" w:rsidP="0075522D">
      <w:pPr>
        <w:pStyle w:val="Listeavsnitt"/>
        <w:jc w:val="both"/>
      </w:pPr>
      <w:r>
        <w:rPr>
          <w:rFonts w:ascii="Helvetica" w:hAnsi="Helvetica" w:cs="Helvetica"/>
          <w:lang w:val="en-US"/>
        </w:rPr>
        <w:drawing>
          <wp:inline distT="0" distB="0" distL="0" distR="0" wp14:anchorId="74A1B294" wp14:editId="7A4CCBD4">
            <wp:extent cx="2286000" cy="1524000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2D" w:rsidRDefault="0075522D" w:rsidP="0075522D">
      <w:pPr>
        <w:jc w:val="both"/>
      </w:pP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>Løsne på staseslangen.</w:t>
      </w: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 xml:space="preserve">For å unngå blodsøl i det mandrengen trekkes ut, komprimeres venen foran den palpable kateterspissen(5). </w:t>
      </w:r>
    </w:p>
    <w:p w:rsidR="0075522D" w:rsidRDefault="0075522D" w:rsidP="0075522D">
      <w:pPr>
        <w:pStyle w:val="Listeavsnitt"/>
        <w:jc w:val="both"/>
      </w:pPr>
      <w:r>
        <w:rPr>
          <w:rFonts w:ascii="Helvetica" w:hAnsi="Helvetica" w:cs="Helvetica"/>
          <w:lang w:val="en-US"/>
        </w:rPr>
        <w:drawing>
          <wp:inline distT="0" distB="0" distL="0" distR="0" wp14:anchorId="6F346BCA" wp14:editId="49181440">
            <wp:extent cx="2286000" cy="1638300"/>
            <wp:effectExtent l="0" t="0" r="0" b="1270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>Mandrengen legges umiddelbart i den gule boksen og venekanylen proppes eller alternativt kobles infusjonsslangen til venekanylen (2,3,5).</w:t>
      </w:r>
    </w:p>
    <w:p w:rsidR="0075522D" w:rsidRDefault="0075522D" w:rsidP="0075522D">
      <w:pPr>
        <w:pStyle w:val="Listeavsnitt"/>
        <w:jc w:val="both"/>
      </w:pPr>
      <w:r>
        <w:rPr>
          <w:rFonts w:ascii="Helvetica" w:hAnsi="Helvetica" w:cs="Helvetica"/>
          <w:lang w:val="en-US"/>
        </w:rPr>
        <w:drawing>
          <wp:inline distT="0" distB="0" distL="0" distR="0" wp14:anchorId="3BCDBC6F" wp14:editId="5EC2B85A">
            <wp:extent cx="2286000" cy="1676400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2D" w:rsidRDefault="0075522D" w:rsidP="00A04AA6">
      <w:pPr>
        <w:pStyle w:val="Listeavsnitt"/>
        <w:numPr>
          <w:ilvl w:val="0"/>
          <w:numId w:val="1"/>
        </w:numPr>
      </w:pPr>
      <w:r>
        <w:t>Bruk sterilt fikseringsplaster eller tape til å fiksere kanylen før du skyller med NaCl 0,9 % via den fargede hetten for å få en indikasjon på at kanylen ligger riktig ved at det ikke blir en hevelse. (1,2,3,4,5,6) Fikseringen kan evt. forsterkes med en tversgående tape i fikseringens bakkant. Merk fikseringsplasteret med dato og klokkeslett.</w:t>
      </w:r>
      <w:r w:rsidDel="00C172B6">
        <w:t xml:space="preserve"> </w:t>
      </w:r>
    </w:p>
    <w:p w:rsidR="0075522D" w:rsidRDefault="0075522D" w:rsidP="0075522D">
      <w:pPr>
        <w:pStyle w:val="Listeavsnitt"/>
        <w:numPr>
          <w:ilvl w:val="0"/>
          <w:numId w:val="1"/>
        </w:numPr>
        <w:jc w:val="both"/>
      </w:pPr>
      <w:r>
        <w:t xml:space="preserve">Avslutt med håndvask eller hånddesinfeksjon(6). </w:t>
      </w:r>
    </w:p>
    <w:p w:rsidR="0075522D" w:rsidRDefault="0075522D" w:rsidP="0075522D">
      <w:pPr>
        <w:rPr>
          <w:b/>
        </w:rPr>
      </w:pPr>
    </w:p>
    <w:p w:rsidR="0075522D" w:rsidRDefault="0075522D" w:rsidP="0075522D">
      <w:pPr>
        <w:rPr>
          <w:b/>
        </w:rPr>
      </w:pPr>
      <w:r>
        <w:rPr>
          <w:b/>
        </w:rPr>
        <w:t>Stell og observasjon av venekanylen</w:t>
      </w:r>
    </w:p>
    <w:p w:rsidR="0075522D" w:rsidRDefault="0075522D" w:rsidP="0075522D">
      <w:pPr>
        <w:pStyle w:val="Listeavsnitt"/>
        <w:numPr>
          <w:ilvl w:val="0"/>
          <w:numId w:val="2"/>
        </w:numPr>
      </w:pPr>
      <w:r>
        <w:t>Inspisér kanylen minst en gang pr. døgn. Observér innstikkstedet og området rundt for tegn på flebitt (ømhet, rødme, smerte, tromber (harde vener), ødem, lokal temperaturøkning og puss]. (1,5,6) Snakk med pasienten. (1,3) Ved det minste tegn på flebitt skal kanylen seponeres umiddelbart. Dette skal dokumenteres i pasientjournalen. (2,3,4,5)</w:t>
      </w:r>
    </w:p>
    <w:p w:rsidR="0075522D" w:rsidRDefault="0075522D" w:rsidP="0075522D">
      <w:pPr>
        <w:pStyle w:val="Listeavsnitt"/>
        <w:numPr>
          <w:ilvl w:val="0"/>
          <w:numId w:val="2"/>
        </w:numPr>
      </w:pPr>
      <w:r>
        <w:t>Fikseringsplasteret skiftes kun dersom det er løst, fuktig eller svært tilsølt. Bruk aseptisk teknikk ved skifting. (1,2,4,5,6)</w:t>
      </w:r>
    </w:p>
    <w:p w:rsidR="0075522D" w:rsidRDefault="0075522D" w:rsidP="0075522D">
      <w:pPr>
        <w:pStyle w:val="Listeavsnitt"/>
        <w:numPr>
          <w:ilvl w:val="0"/>
          <w:numId w:val="2"/>
        </w:numPr>
      </w:pPr>
      <w:r>
        <w:t>Kanylen skylles med NaCl 0,9% før og etter administrasjon av medikamenter/infusjonsvæsker(2,3,6) eller hver 6.-8. time</w:t>
      </w:r>
    </w:p>
    <w:p w:rsidR="0075522D" w:rsidRDefault="0075522D" w:rsidP="0075522D">
      <w:pPr>
        <w:pStyle w:val="Listeavsnitt"/>
        <w:numPr>
          <w:ilvl w:val="0"/>
          <w:numId w:val="2"/>
        </w:numPr>
      </w:pPr>
      <w:r>
        <w:t xml:space="preserve">Kanylen skiftes ved behov. </w:t>
      </w:r>
    </w:p>
    <w:p w:rsidR="0075522D" w:rsidRDefault="0075522D" w:rsidP="0075522D">
      <w:pPr>
        <w:pStyle w:val="Listeavsnitt"/>
        <w:numPr>
          <w:ilvl w:val="0"/>
          <w:numId w:val="2"/>
        </w:numPr>
      </w:pPr>
      <w:r>
        <w:t>For å unngå blodsøl og mekanisk irritasjon av innstikkstedet under skiftning av i.v. sett eller ved administering av støtdoser er det praktisk å koble en 10 cm i.v. slange med 3-veiskran til infusjonssettet.</w:t>
      </w:r>
    </w:p>
    <w:p w:rsidR="0075522D" w:rsidRDefault="0075522D" w:rsidP="0075522D">
      <w:pPr>
        <w:pStyle w:val="Listeavsnitt"/>
        <w:numPr>
          <w:ilvl w:val="0"/>
          <w:numId w:val="2"/>
        </w:numPr>
      </w:pPr>
      <w:r>
        <w:t>Når kanylen fjernes komprimeres innstikkstedet til det er hemostase. Dekk deretter innstikksstedet med en ren kompress.</w:t>
      </w:r>
    </w:p>
    <w:p w:rsidR="0075522D" w:rsidRDefault="0075522D" w:rsidP="0075522D">
      <w:pPr>
        <w:pStyle w:val="Listeavsnitt"/>
        <w:numPr>
          <w:ilvl w:val="0"/>
          <w:numId w:val="2"/>
        </w:numPr>
      </w:pPr>
      <w:r>
        <w:t>Venekanyler som ikke skal brukes skal fjernes. (1,3,4).</w:t>
      </w:r>
    </w:p>
    <w:p w:rsidR="0075522D" w:rsidRDefault="0075522D" w:rsidP="0075522D"/>
    <w:p w:rsidR="0075522D" w:rsidRDefault="0075522D" w:rsidP="0075522D">
      <w:pPr>
        <w:rPr>
          <w:color w:val="1F497D" w:themeColor="text2"/>
          <w:sz w:val="44"/>
          <w:szCs w:val="44"/>
        </w:rPr>
      </w:pPr>
      <w:r w:rsidRPr="00EF7B8D">
        <w:rPr>
          <w:color w:val="1F497D" w:themeColor="text2"/>
          <w:sz w:val="44"/>
          <w:szCs w:val="44"/>
        </w:rPr>
        <w:t>Oppheng av IV.sett.</w:t>
      </w:r>
    </w:p>
    <w:p w:rsidR="0075522D" w:rsidRDefault="0075522D" w:rsidP="0075522D">
      <w:r>
        <w:t>Utstyr:</w:t>
      </w:r>
    </w:p>
    <w:p w:rsidR="0075522D" w:rsidRDefault="0075522D" w:rsidP="0075522D">
      <w:pPr>
        <w:pStyle w:val="Listeavsnitt"/>
        <w:numPr>
          <w:ilvl w:val="0"/>
          <w:numId w:val="6"/>
        </w:numPr>
      </w:pPr>
      <w:r>
        <w:t>Riktig væske (NaCl 9mg/ml, Ringer, NaCl med glukose etc. )</w:t>
      </w:r>
    </w:p>
    <w:p w:rsidR="0075522D" w:rsidRDefault="0075522D" w:rsidP="0075522D">
      <w:pPr>
        <w:pStyle w:val="Listeavsnitt"/>
        <w:numPr>
          <w:ilvl w:val="0"/>
          <w:numId w:val="6"/>
        </w:numPr>
      </w:pPr>
      <w:r>
        <w:t>Ïnfusjonsslange med dråpekammer</w:t>
      </w:r>
    </w:p>
    <w:p w:rsidR="0075522D" w:rsidRDefault="0075522D" w:rsidP="0075522D">
      <w:pPr>
        <w:pStyle w:val="Listeavsnitt"/>
        <w:numPr>
          <w:ilvl w:val="0"/>
          <w:numId w:val="6"/>
        </w:numPr>
      </w:pPr>
      <w:r>
        <w:t xml:space="preserve">Hansker </w:t>
      </w:r>
    </w:p>
    <w:p w:rsidR="0075522D" w:rsidRDefault="0075522D" w:rsidP="0075522D">
      <w:pPr>
        <w:pStyle w:val="Listeavsnitt"/>
        <w:numPr>
          <w:ilvl w:val="0"/>
          <w:numId w:val="6"/>
        </w:numPr>
      </w:pPr>
      <w:r>
        <w:t>Evt. treveiskran</w:t>
      </w:r>
    </w:p>
    <w:p w:rsidR="0075522D" w:rsidRDefault="0075522D" w:rsidP="0075522D">
      <w:pPr>
        <w:pStyle w:val="Listeavsnitt"/>
        <w:numPr>
          <w:ilvl w:val="0"/>
          <w:numId w:val="6"/>
        </w:numPr>
      </w:pPr>
      <w:r>
        <w:t>Stativ</w:t>
      </w:r>
    </w:p>
    <w:p w:rsidR="0075522D" w:rsidRDefault="0075522D" w:rsidP="0075522D">
      <w:r>
        <w:t>Fremgangsmåte:</w:t>
      </w:r>
    </w:p>
    <w:p w:rsidR="0075522D" w:rsidRDefault="0075522D" w:rsidP="0075522D">
      <w:pPr>
        <w:pStyle w:val="Listeavsnitt"/>
        <w:numPr>
          <w:ilvl w:val="0"/>
          <w:numId w:val="7"/>
        </w:numPr>
      </w:pPr>
      <w:r>
        <w:t xml:space="preserve">Informer pasienten hva som skal skje. </w:t>
      </w:r>
    </w:p>
    <w:p w:rsidR="0075522D" w:rsidRDefault="0075522D" w:rsidP="0075522D">
      <w:pPr>
        <w:pStyle w:val="Listeavsnitt"/>
        <w:numPr>
          <w:ilvl w:val="0"/>
          <w:numId w:val="7"/>
        </w:numPr>
      </w:pPr>
      <w:r>
        <w:t>Finn frem utstyret</w:t>
      </w:r>
    </w:p>
    <w:p w:rsidR="0075522D" w:rsidRDefault="0075522D" w:rsidP="0075522D">
      <w:pPr>
        <w:pStyle w:val="Listeavsnitt"/>
        <w:numPr>
          <w:ilvl w:val="0"/>
          <w:numId w:val="7"/>
        </w:numPr>
      </w:pPr>
      <w:r>
        <w:t>Ta på hansker</w:t>
      </w:r>
    </w:p>
    <w:p w:rsidR="0075522D" w:rsidRDefault="0075522D" w:rsidP="0075522D">
      <w:pPr>
        <w:pStyle w:val="Listeavsnitt"/>
        <w:numPr>
          <w:ilvl w:val="0"/>
          <w:numId w:val="7"/>
        </w:numPr>
      </w:pPr>
      <w:r>
        <w:t>(Koble opp infusjonssettet)</w:t>
      </w:r>
    </w:p>
    <w:p w:rsidR="0075522D" w:rsidRDefault="0075522D" w:rsidP="0075522D">
      <w:pPr>
        <w:pStyle w:val="Listeavsnitt"/>
        <w:numPr>
          <w:ilvl w:val="0"/>
          <w:numId w:val="7"/>
        </w:numPr>
      </w:pPr>
      <w:r>
        <w:t>Heng opp væsken i stativ</w:t>
      </w:r>
    </w:p>
    <w:p w:rsidR="0075522D" w:rsidRDefault="0075522D" w:rsidP="0075522D">
      <w:pPr>
        <w:pStyle w:val="Listeavsnitt"/>
        <w:numPr>
          <w:ilvl w:val="0"/>
          <w:numId w:val="7"/>
        </w:numPr>
      </w:pPr>
      <w:r>
        <w:t>Ta av beskyttelseshetten på den spisse enden av slangen</w:t>
      </w:r>
    </w:p>
    <w:p w:rsidR="0075522D" w:rsidRDefault="0075522D" w:rsidP="0075522D">
      <w:pPr>
        <w:pStyle w:val="Listeavsnitt"/>
        <w:numPr>
          <w:ilvl w:val="0"/>
          <w:numId w:val="7"/>
        </w:numPr>
      </w:pPr>
      <w:r>
        <w:t xml:space="preserve">Ta av hetten på infusjonsposen. </w:t>
      </w:r>
    </w:p>
    <w:p w:rsidR="0075522D" w:rsidRDefault="0075522D" w:rsidP="0075522D">
      <w:pPr>
        <w:pStyle w:val="Listeavsnitt"/>
        <w:numPr>
          <w:ilvl w:val="0"/>
          <w:numId w:val="7"/>
        </w:numPr>
      </w:pPr>
      <w:r>
        <w:t xml:space="preserve">Stikk den spisse enden av infusjonsslangen inn i infusjonsposen (det er TO stusser på en infisjonspose, én som skal benyttes til infusjonssett og én som benyttes når tilsetninger skal sprøytes inn i posen. Velg riktig ende når du kobler til infusjonssettet). </w:t>
      </w:r>
      <w:r w:rsidR="00A03FD1">
        <w:t>Du skal koble til hvor den blå beskyttelseshetten er.</w:t>
      </w:r>
    </w:p>
    <w:p w:rsidR="0075522D" w:rsidRDefault="0075522D" w:rsidP="0075522D">
      <w:pPr>
        <w:pStyle w:val="Listeavsnitt"/>
        <w:numPr>
          <w:ilvl w:val="0"/>
          <w:numId w:val="7"/>
        </w:numPr>
      </w:pPr>
      <w:r>
        <w:t>Klem gjentatte ganger på dråpekammeret til det er halvfylt med væske</w:t>
      </w:r>
      <w:r w:rsidR="00D213BE">
        <w:t>.</w:t>
      </w:r>
    </w:p>
    <w:p w:rsidR="00D213BE" w:rsidRDefault="00D213BE" w:rsidP="0075522D">
      <w:pPr>
        <w:pStyle w:val="Listeavsnitt"/>
        <w:numPr>
          <w:ilvl w:val="0"/>
          <w:numId w:val="7"/>
        </w:numPr>
      </w:pPr>
      <w:r>
        <w:t xml:space="preserve">Dersom du overfyller dråpekammeret holder du posen under kammerhøyden og klemmer inn kammeret slik at væsken pumpes tilbake. </w:t>
      </w:r>
    </w:p>
    <w:p w:rsidR="0075522D" w:rsidRDefault="0075522D" w:rsidP="0075522D">
      <w:pPr>
        <w:pStyle w:val="Listeavsnitt"/>
        <w:numPr>
          <w:ilvl w:val="0"/>
          <w:numId w:val="7"/>
        </w:numPr>
      </w:pPr>
      <w:r>
        <w:t>Åpne rulleklemmen slik at væske renner igjennom slangen til det begynner å dryppe slik at in</w:t>
      </w:r>
      <w:r w:rsidR="00AE6ED0">
        <w:t>fusjonssettet tømmes for luft.</w:t>
      </w:r>
    </w:p>
    <w:p w:rsidR="0075522D" w:rsidRDefault="0075522D" w:rsidP="0075522D">
      <w:pPr>
        <w:pStyle w:val="Listeavsnitt"/>
        <w:numPr>
          <w:ilvl w:val="0"/>
          <w:numId w:val="7"/>
        </w:numPr>
      </w:pPr>
      <w:r>
        <w:t>Steng rulleklemmen</w:t>
      </w:r>
      <w:r w:rsidR="00D213BE">
        <w:t>.</w:t>
      </w:r>
    </w:p>
    <w:p w:rsidR="0075522D" w:rsidRPr="00EF7B8D" w:rsidRDefault="0075522D" w:rsidP="0075522D">
      <w:pPr>
        <w:pStyle w:val="Listeavsnitt"/>
        <w:numPr>
          <w:ilvl w:val="0"/>
          <w:numId w:val="7"/>
        </w:numPr>
      </w:pPr>
      <w:r>
        <w:t xml:space="preserve">Koble infusjonssettet til enden av venekanylen (IKKE til den fargede infusjonsporten) og åpne infusjonsslangen. Sjekk at venekanylen fungerer ved at det drypper i dråpekammeret. Infusjonshastigheten reguleres ved å justere rulleklemmen (tommelfingerregel: 1 ml = 20 dråper, eks. hvis pasienten skal få ca. 180 ml i timen = 3 ml i minuttet = 60 dråper i minuttet = 1 dråpe i sekundet). </w:t>
      </w:r>
    </w:p>
    <w:p w:rsidR="0075522D" w:rsidRDefault="0075522D" w:rsidP="0075522D"/>
    <w:p w:rsidR="0075522D" w:rsidRDefault="0075522D" w:rsidP="0075522D"/>
    <w:p w:rsidR="0075522D" w:rsidRDefault="0075522D" w:rsidP="0075522D"/>
    <w:p w:rsidR="0075522D" w:rsidRDefault="0075522D" w:rsidP="0075522D"/>
    <w:p w:rsidR="0075522D" w:rsidRDefault="00A03FD1" w:rsidP="0075522D">
      <w:pPr>
        <w:rPr>
          <w:b/>
        </w:rPr>
      </w:pPr>
      <w:r>
        <w:rPr>
          <w:lang w:val="en-US"/>
        </w:rPr>
        <w:drawing>
          <wp:inline distT="0" distB="0" distL="0" distR="0" wp14:anchorId="6F274037" wp14:editId="4FD770EB">
            <wp:extent cx="2062480" cy="3667760"/>
            <wp:effectExtent l="0" t="0" r="0" b="0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lang w:val="en-US"/>
        </w:rPr>
        <w:drawing>
          <wp:inline distT="0" distB="0" distL="0" distR="0" wp14:anchorId="1713D9CA" wp14:editId="6F96DBDE">
            <wp:extent cx="2800060" cy="2446655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447" cy="244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2D" w:rsidRDefault="0075522D" w:rsidP="0075522D">
      <w:pPr>
        <w:rPr>
          <w:b/>
        </w:rPr>
      </w:pPr>
    </w:p>
    <w:p w:rsidR="0075522D" w:rsidRDefault="0075522D" w:rsidP="0075522D">
      <w:pPr>
        <w:rPr>
          <w:b/>
        </w:rPr>
      </w:pPr>
    </w:p>
    <w:p w:rsidR="0075522D" w:rsidRDefault="0075522D" w:rsidP="0075522D">
      <w:p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Komplikasjoner ved venekanylering. </w:t>
      </w:r>
    </w:p>
    <w:p w:rsidR="0075522D" w:rsidRPr="009E129E" w:rsidRDefault="0075522D" w:rsidP="0075522D">
      <w:pPr>
        <w:rPr>
          <w:color w:val="000000" w:themeColor="text1"/>
          <w:sz w:val="44"/>
          <w:szCs w:val="44"/>
        </w:rPr>
      </w:pPr>
    </w:p>
    <w:p w:rsidR="0075522D" w:rsidRPr="009E129E" w:rsidRDefault="0075522D" w:rsidP="0075522D">
      <w:pPr>
        <w:rPr>
          <w:color w:val="000000" w:themeColor="text1"/>
        </w:rPr>
      </w:pPr>
      <w:r w:rsidRPr="009E129E">
        <w:rPr>
          <w:color w:val="000000" w:themeColor="text1"/>
        </w:rPr>
        <w:t xml:space="preserve">Hematom, tromboflebitt, plastemboli, luftemboli, vasovagalsynkope, infeksjon, sepsis, infiltrasjon i det subcutanevev. Se nettsiden </w:t>
      </w:r>
      <w:hyperlink r:id="rId18" w:history="1">
        <w:r w:rsidRPr="009E129E">
          <w:rPr>
            <w:rFonts w:ascii="Helvetica" w:hAnsi="Helvetica" w:cs="Helvetica"/>
            <w:noProof w:val="0"/>
            <w:color w:val="000000" w:themeColor="text1"/>
            <w:u w:val="single" w:color="084DE6"/>
            <w:lang w:val="en-US"/>
          </w:rPr>
          <w:t>http://www.sykepleien.no/fagutvikling/fagartikkel/120590/stell-og-fjerning-av-perifer-venekanyle</w:t>
        </w:r>
      </w:hyperlink>
      <w:r w:rsidRPr="009E129E">
        <w:rPr>
          <w:rFonts w:ascii="Helvetica" w:hAnsi="Helvetica" w:cs="Times New Roman"/>
          <w:noProof w:val="0"/>
          <w:color w:val="000000" w:themeColor="text1"/>
          <w:lang w:val="en-US"/>
        </w:rPr>
        <w:t xml:space="preserve"> for </w:t>
      </w:r>
      <w:proofErr w:type="spellStart"/>
      <w:r w:rsidRPr="009E129E">
        <w:rPr>
          <w:rFonts w:ascii="Helvetica" w:hAnsi="Helvetica" w:cs="Times New Roman"/>
          <w:noProof w:val="0"/>
          <w:color w:val="000000" w:themeColor="text1"/>
          <w:lang w:val="en-US"/>
        </w:rPr>
        <w:t>flere</w:t>
      </w:r>
      <w:proofErr w:type="spellEnd"/>
      <w:r w:rsidRPr="009E129E">
        <w:rPr>
          <w:rFonts w:ascii="Helvetica" w:hAnsi="Helvetica" w:cs="Times New Roman"/>
          <w:noProof w:val="0"/>
          <w:color w:val="000000" w:themeColor="text1"/>
          <w:lang w:val="en-US"/>
        </w:rPr>
        <w:t xml:space="preserve"> </w:t>
      </w:r>
      <w:proofErr w:type="spellStart"/>
      <w:r w:rsidRPr="009E129E">
        <w:rPr>
          <w:rFonts w:ascii="Helvetica" w:hAnsi="Helvetica" w:cs="Times New Roman"/>
          <w:noProof w:val="0"/>
          <w:color w:val="000000" w:themeColor="text1"/>
          <w:lang w:val="en-US"/>
        </w:rPr>
        <w:t>detaljer</w:t>
      </w:r>
      <w:proofErr w:type="spellEnd"/>
      <w:r w:rsidRPr="009E129E">
        <w:rPr>
          <w:rFonts w:ascii="Helvetica" w:hAnsi="Helvetica" w:cs="Times New Roman"/>
          <w:noProof w:val="0"/>
          <w:color w:val="000000" w:themeColor="text1"/>
          <w:lang w:val="en-US"/>
        </w:rPr>
        <w:t xml:space="preserve">. </w:t>
      </w:r>
    </w:p>
    <w:p w:rsidR="0075522D" w:rsidRDefault="0075522D" w:rsidP="0075522D">
      <w:pPr>
        <w:rPr>
          <w:color w:val="1F497D" w:themeColor="text2"/>
          <w:sz w:val="44"/>
          <w:szCs w:val="44"/>
        </w:rPr>
      </w:pPr>
    </w:p>
    <w:p w:rsidR="0075522D" w:rsidRDefault="0075522D" w:rsidP="0075522D">
      <w:pPr>
        <w:rPr>
          <w:b/>
        </w:rPr>
      </w:pPr>
      <w:r>
        <w:rPr>
          <w:b/>
        </w:rPr>
        <w:t>Referanser</w:t>
      </w:r>
    </w:p>
    <w:p w:rsidR="0075522D" w:rsidRDefault="0075522D" w:rsidP="0075522D">
      <w:pPr>
        <w:pStyle w:val="Listeavsnitt"/>
        <w:numPr>
          <w:ilvl w:val="0"/>
          <w:numId w:val="3"/>
        </w:numPr>
      </w:pPr>
      <w:r>
        <w:t>O´Gady NP, et al(2002), Guidelines for the prevention of intravascular catheter-related infections.</w:t>
      </w:r>
    </w:p>
    <w:p w:rsidR="0075522D" w:rsidRDefault="0075522D" w:rsidP="0075522D">
      <w:pPr>
        <w:ind w:left="720"/>
      </w:pPr>
      <w:r>
        <w:t>MMWR Recomm Rep (RR-10):1-29</w:t>
      </w:r>
    </w:p>
    <w:p w:rsidR="0075522D" w:rsidRDefault="0075522D" w:rsidP="0075522D">
      <w:pPr>
        <w:pStyle w:val="Listeavsnitt"/>
        <w:numPr>
          <w:ilvl w:val="0"/>
          <w:numId w:val="3"/>
        </w:numPr>
      </w:pPr>
      <w:r>
        <w:t>Intravenous Nures society (2006) Standards of practice</w:t>
      </w:r>
    </w:p>
    <w:p w:rsidR="0075522D" w:rsidRDefault="0075522D" w:rsidP="0075522D">
      <w:pPr>
        <w:pStyle w:val="Listeavsnitt"/>
      </w:pPr>
      <w:r>
        <w:t>Journal of Intravenous Nursing. 29(1S) jan-feb 2006</w:t>
      </w:r>
    </w:p>
    <w:p w:rsidR="0075522D" w:rsidRDefault="0075522D" w:rsidP="0075522D">
      <w:pPr>
        <w:pStyle w:val="Listeavsnitt"/>
        <w:numPr>
          <w:ilvl w:val="0"/>
          <w:numId w:val="3"/>
        </w:numPr>
      </w:pPr>
      <w:r>
        <w:t>Ingram P, Lavery I. (2005) Peripheral intravenous Therapy: key risks and implications for practice. Nursing Standard 19(46):55-64</w:t>
      </w:r>
    </w:p>
    <w:p w:rsidR="0075522D" w:rsidRDefault="0075522D" w:rsidP="0075522D">
      <w:pPr>
        <w:pStyle w:val="Listeavsnitt"/>
        <w:numPr>
          <w:ilvl w:val="0"/>
          <w:numId w:val="3"/>
        </w:numPr>
      </w:pPr>
      <w:r>
        <w:t xml:space="preserve">Band JD, Alonso-Echanoce J, Gaynes R. (2007), Prevention of intravascular catheter-related infections. </w:t>
      </w:r>
      <w:hyperlink r:id="rId19" w:history="1">
        <w:r w:rsidRPr="00F156C8">
          <w:rPr>
            <w:rStyle w:val="Hyperkobling"/>
          </w:rPr>
          <w:t>www.uptodate.com</w:t>
        </w:r>
      </w:hyperlink>
    </w:p>
    <w:p w:rsidR="0075522D" w:rsidRDefault="0075522D" w:rsidP="0075522D">
      <w:pPr>
        <w:pStyle w:val="Listeavsnitt"/>
        <w:numPr>
          <w:ilvl w:val="0"/>
          <w:numId w:val="3"/>
        </w:numPr>
      </w:pPr>
      <w:r>
        <w:t xml:space="preserve">Rivera AM, Strause KW, van Zundert AA, Mortir EP. (2007). Matching the peripheral intravenous catheter to the individual patient. </w:t>
      </w:r>
    </w:p>
    <w:p w:rsidR="0075522D" w:rsidRDefault="0075522D" w:rsidP="0075522D">
      <w:pPr>
        <w:pStyle w:val="Listeavsnitt"/>
      </w:pPr>
      <w:r>
        <w:t>Acta anaesthesiologica begica 58(1) pg 19-25</w:t>
      </w:r>
    </w:p>
    <w:p w:rsidR="0075522D" w:rsidRDefault="0075522D" w:rsidP="0075522D">
      <w:pPr>
        <w:pStyle w:val="Listeavsnitt"/>
        <w:numPr>
          <w:ilvl w:val="0"/>
          <w:numId w:val="3"/>
        </w:numPr>
      </w:pPr>
      <w:r>
        <w:t xml:space="preserve">Roayl College of nursing (2007) Standards of Infusion Therapy. RCN London, </w:t>
      </w:r>
    </w:p>
    <w:p w:rsidR="0075522D" w:rsidRDefault="00F47A7E" w:rsidP="0075522D">
      <w:pPr>
        <w:pStyle w:val="Listeavsnitt"/>
      </w:pPr>
      <w:hyperlink r:id="rId20" w:history="1">
        <w:r w:rsidR="0075522D" w:rsidRPr="00F156C8">
          <w:rPr>
            <w:rStyle w:val="Hyperkobling"/>
          </w:rPr>
          <w:t>http://www.rcn.org.uk/_data/assets/pdf_file/0005/78593/002179.pdf</w:t>
        </w:r>
      </w:hyperlink>
    </w:p>
    <w:p w:rsidR="0075522D" w:rsidRPr="00B7536A" w:rsidRDefault="0075522D" w:rsidP="0075522D">
      <w:pPr>
        <w:pStyle w:val="Listeavsnitt"/>
        <w:numPr>
          <w:ilvl w:val="0"/>
          <w:numId w:val="3"/>
        </w:numPr>
      </w:pPr>
      <w:r>
        <w:t>webster J, Osborne S, Rikard C, Hall J. (2010) Clinically-indicated replacement versous routine replecement og peripheral venous catheters. Cochrane Database systemic rev. 2010 mar 17;(3):CD007798. Review.</w:t>
      </w:r>
    </w:p>
    <w:p w:rsidR="0075522D" w:rsidRDefault="0075522D" w:rsidP="0075522D"/>
    <w:p w:rsidR="00D66AD7" w:rsidRDefault="00D66AD7"/>
    <w:sectPr w:rsidR="00D66AD7" w:rsidSect="000B4D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309"/>
    <w:multiLevelType w:val="hybridMultilevel"/>
    <w:tmpl w:val="33B8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63B7"/>
    <w:multiLevelType w:val="hybridMultilevel"/>
    <w:tmpl w:val="5096F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3715"/>
    <w:multiLevelType w:val="hybridMultilevel"/>
    <w:tmpl w:val="AFD0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C6BC2"/>
    <w:multiLevelType w:val="hybridMultilevel"/>
    <w:tmpl w:val="713C6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5A8C"/>
    <w:multiLevelType w:val="hybridMultilevel"/>
    <w:tmpl w:val="0D0C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04683"/>
    <w:multiLevelType w:val="hybridMultilevel"/>
    <w:tmpl w:val="C57C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43BF0"/>
    <w:multiLevelType w:val="hybridMultilevel"/>
    <w:tmpl w:val="376C7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2D"/>
    <w:rsid w:val="00024F86"/>
    <w:rsid w:val="00062B04"/>
    <w:rsid w:val="000B4D30"/>
    <w:rsid w:val="000B710F"/>
    <w:rsid w:val="000D21CD"/>
    <w:rsid w:val="00184498"/>
    <w:rsid w:val="001C376E"/>
    <w:rsid w:val="0047607B"/>
    <w:rsid w:val="00644C6D"/>
    <w:rsid w:val="0075522D"/>
    <w:rsid w:val="00762AA4"/>
    <w:rsid w:val="007B7CC0"/>
    <w:rsid w:val="008C71A5"/>
    <w:rsid w:val="00A03FD1"/>
    <w:rsid w:val="00A04AA6"/>
    <w:rsid w:val="00A75749"/>
    <w:rsid w:val="00AE6ED0"/>
    <w:rsid w:val="00B5711D"/>
    <w:rsid w:val="00D213BE"/>
    <w:rsid w:val="00D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AD4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2D"/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7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5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5522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552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5522D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522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522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522D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52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522D"/>
    <w:rPr>
      <w:rFonts w:ascii="Lucida Grande" w:hAnsi="Lucida Grande" w:cs="Lucida Grande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7CC0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2D"/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7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5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5522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552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5522D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522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522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522D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52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522D"/>
    <w:rPr>
      <w:rFonts w:ascii="Lucida Grande" w:hAnsi="Lucida Grande" w:cs="Lucida Grande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7CC0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hyperlink" Target="http://www.rcn.org.uk/_data/assets/pdf_file/0005/78593/002179.pdf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hyperlink" Target="http://www.sykepleien.no/fagutvikling/fagartikkel/120590/stell-og-fjerning-av-perifer-venekanyle" TargetMode="External"/><Relationship Id="rId19" Type="http://schemas.openxmlformats.org/officeDocument/2006/relationships/hyperlink" Target="http://www.uptodate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1281</Words>
  <Characters>6791</Characters>
  <Application>Microsoft Macintosh Word</Application>
  <DocSecurity>0</DocSecurity>
  <Lines>56</Lines>
  <Paragraphs>16</Paragraphs>
  <ScaleCrop>false</ScaleCrop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Christer-Daniel Willard</dc:creator>
  <cp:keywords/>
  <dc:description/>
  <cp:lastModifiedBy>Christer-Daniel Willard</cp:lastModifiedBy>
  <cp:revision>2</cp:revision>
  <dcterms:created xsi:type="dcterms:W3CDTF">2013-11-25T11:02:00Z</dcterms:created>
  <dcterms:modified xsi:type="dcterms:W3CDTF">2013-11-25T11:02:00Z</dcterms:modified>
</cp:coreProperties>
</file>